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of Autonomous Value: Strategic Intelligence and the Enterprise of 2030</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global business landscape has entered a period of structural reconfiguration characterized by the transition from digital transformation to what is increasingly termed the "Intelligence Age." This era is defined by the emergence of artificial intelligence not merely as a supplementary tool for efficiency but as the primary engine of economic growth and industry reinvention. Projections from leading global consultancies suggest that by 2035, the responsible deployment of AI could expand global GDP by approximately </w:t>
      </w:r>
      <w:r w:rsidDel="00000000" w:rsidR="00000000" w:rsidRPr="00000000">
        <w:rPr>
          <w:rFonts w:ascii="Google Sans" w:cs="Google Sans" w:eastAsia="Google Sans" w:hAnsi="Google Sans"/>
          <w:color w:val="1f1f1f"/>
        </w:rPr>
        <w:drawing>
          <wp:inline distB="19050" distT="19050" distL="19050" distR="19050">
            <wp:extent cx="295771" cy="192894"/>
            <wp:effectExtent b="0" l="0" r="0" t="0"/>
            <wp:docPr id="6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95771" cy="1928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figure corresponding to an additional one percentage point of annual growth.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growth trajectory mirrors the economic accelerations witnessed during the nineteenth-century Industrial Revolution, signaling a profound shift in the foundational mechanisms of value creation, labor productivity, and capital allocation.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Current market evaluations place the global AI software, services, and hardware market at roughly </w:t>
      </w:r>
      <w:r w:rsidDel="00000000" w:rsidR="00000000" w:rsidRPr="00000000">
        <w:rPr>
          <w:rFonts w:ascii="Google Sans" w:cs="Google Sans" w:eastAsia="Google Sans" w:hAnsi="Google Sans"/>
          <w:color w:val="1f1f1f"/>
        </w:rPr>
        <w:drawing>
          <wp:inline distB="19050" distT="19050" distL="19050" distR="19050">
            <wp:extent cx="1252938" cy="215151"/>
            <wp:effectExtent b="0" l="0" r="0" t="0"/>
            <wp:docPr id="63" name="image56.png"/>
            <a:graphic>
              <a:graphicData uri="http://schemas.openxmlformats.org/drawingml/2006/picture">
                <pic:pic>
                  <pic:nvPicPr>
                    <pic:cNvPr id="0" name="image56.png"/>
                    <pic:cNvPicPr preferRelativeResize="0"/>
                  </pic:nvPicPr>
                  <pic:blipFill>
                    <a:blip r:embed="rId7"/>
                    <a:srcRect b="0" l="0" r="0" t="0"/>
                    <a:stretch>
                      <a:fillRect/>
                    </a:stretch>
                  </pic:blipFill>
                  <pic:spPr>
                    <a:xfrm>
                      <a:off x="0" y="0"/>
                      <a:ext cx="1252938" cy="2151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1252938" cy="215151"/>
            <wp:effectExtent b="0" l="0" r="0" t="0"/>
            <wp:docPr id="62" name="image47.png"/>
            <a:graphic>
              <a:graphicData uri="http://schemas.openxmlformats.org/drawingml/2006/picture">
                <pic:pic>
                  <pic:nvPicPr>
                    <pic:cNvPr id="0" name="image47.png"/>
                    <pic:cNvPicPr preferRelativeResize="0"/>
                  </pic:nvPicPr>
                  <pic:blipFill>
                    <a:blip r:embed="rId8"/>
                    <a:srcRect b="0" l="0" r="0" t="0"/>
                    <a:stretch>
                      <a:fillRect/>
                    </a:stretch>
                  </pic:blipFill>
                  <pic:spPr>
                    <a:xfrm>
                      <a:off x="0" y="0"/>
                      <a:ext cx="1252938" cy="2151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2025.</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However, the compounding nature of AI integration indicates a sustained compound annual growth rate (CAGR) of </w:t>
      </w:r>
      <w:r w:rsidDel="00000000" w:rsidR="00000000" w:rsidRPr="00000000">
        <w:rPr>
          <w:rFonts w:ascii="Google Sans" w:cs="Google Sans" w:eastAsia="Google Sans" w:hAnsi="Google Sans"/>
          <w:color w:val="1f1f1f"/>
        </w:rPr>
        <w:drawing>
          <wp:inline distB="19050" distT="19050" distL="19050" distR="19050">
            <wp:extent cx="338038" cy="221025"/>
            <wp:effectExtent b="0" l="0" r="0" t="0"/>
            <wp:docPr id="6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38038" cy="2210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338038" cy="221025"/>
            <wp:effectExtent b="0" l="0" r="0" t="0"/>
            <wp:docPr id="64" name="image40.png"/>
            <a:graphic>
              <a:graphicData uri="http://schemas.openxmlformats.org/drawingml/2006/picture">
                <pic:pic>
                  <pic:nvPicPr>
                    <pic:cNvPr id="0" name="image40.png"/>
                    <pic:cNvPicPr preferRelativeResize="0"/>
                  </pic:nvPicPr>
                  <pic:blipFill>
                    <a:blip r:embed="rId10"/>
                    <a:srcRect b="0" l="0" r="0" t="0"/>
                    <a:stretch>
                      <a:fillRect/>
                    </a:stretch>
                  </pic:blipFill>
                  <pic:spPr>
                    <a:xfrm>
                      <a:off x="0" y="0"/>
                      <a:ext cx="338038" cy="2210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potentially driving the market to between </w:t>
      </w:r>
      <w:r w:rsidDel="00000000" w:rsidR="00000000" w:rsidRPr="00000000">
        <w:rPr>
          <w:rFonts w:ascii="Google Sans" w:cs="Google Sans" w:eastAsia="Google Sans" w:hAnsi="Google Sans"/>
          <w:color w:val="1f1f1f"/>
        </w:rPr>
        <w:drawing>
          <wp:inline distB="19050" distT="19050" distL="19050" distR="19050">
            <wp:extent cx="1253528" cy="215252"/>
            <wp:effectExtent b="0" l="0" r="0" t="0"/>
            <wp:docPr id="69" name="image50.png"/>
            <a:graphic>
              <a:graphicData uri="http://schemas.openxmlformats.org/drawingml/2006/picture">
                <pic:pic>
                  <pic:nvPicPr>
                    <pic:cNvPr id="0" name="image50.png"/>
                    <pic:cNvPicPr preferRelativeResize="0"/>
                  </pic:nvPicPr>
                  <pic:blipFill>
                    <a:blip r:embed="rId11"/>
                    <a:srcRect b="0" l="0" r="0" t="0"/>
                    <a:stretch>
                      <a:fillRect/>
                    </a:stretch>
                  </pic:blipFill>
                  <pic:spPr>
                    <a:xfrm>
                      <a:off x="0" y="0"/>
                      <a:ext cx="1253528" cy="2152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253528" cy="215252"/>
            <wp:effectExtent b="0" l="0" r="0" t="0"/>
            <wp:docPr id="68" name="image51.png"/>
            <a:graphic>
              <a:graphicData uri="http://schemas.openxmlformats.org/drawingml/2006/picture">
                <pic:pic>
                  <pic:nvPicPr>
                    <pic:cNvPr id="0" name="image51.png"/>
                    <pic:cNvPicPr preferRelativeResize="0"/>
                  </pic:nvPicPr>
                  <pic:blipFill>
                    <a:blip r:embed="rId12"/>
                    <a:srcRect b="0" l="0" r="0" t="0"/>
                    <a:stretch>
                      <a:fillRect/>
                    </a:stretch>
                  </pic:blipFill>
                  <pic:spPr>
                    <a:xfrm>
                      <a:off x="0" y="0"/>
                      <a:ext cx="1253528" cy="2152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 2030.</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evolution is underpinned by a transition through three distinct phases: the exploration phase of 2023, the experimentation phase of 2024, and the current era of "accountable acceleration" beginning in 2025, where the strategic focus has shifted from experimental novelty to durable return on investment (ROI) and enterprise-level financial impact.</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Macroeconomic Frontier: GDP Growth and Revenue Redistribution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economic potential of AI is staggering in its scale, with long-term opportunities sized at approximately </w:t>
      </w:r>
      <w:r w:rsidDel="00000000" w:rsidR="00000000" w:rsidRPr="00000000">
        <w:rPr>
          <w:rFonts w:ascii="Google Sans" w:cs="Google Sans" w:eastAsia="Google Sans" w:hAnsi="Google Sans"/>
          <w:color w:val="1f1f1f"/>
        </w:rPr>
        <w:drawing>
          <wp:inline distB="19050" distT="19050" distL="19050" distR="19050">
            <wp:extent cx="1096861" cy="191313"/>
            <wp:effectExtent b="0" l="0" r="0" t="0"/>
            <wp:docPr id="74" name="image54.png"/>
            <a:graphic>
              <a:graphicData uri="http://schemas.openxmlformats.org/drawingml/2006/picture">
                <pic:pic>
                  <pic:nvPicPr>
                    <pic:cNvPr id="0" name="image54.png"/>
                    <pic:cNvPicPr preferRelativeResize="0"/>
                  </pic:nvPicPr>
                  <pic:blipFill>
                    <a:blip r:embed="rId13"/>
                    <a:srcRect b="0" l="0" r="0" t="0"/>
                    <a:stretch>
                      <a:fillRect/>
                    </a:stretch>
                  </pic:blipFill>
                  <pic:spPr>
                    <a:xfrm>
                      <a:off x="0" y="0"/>
                      <a:ext cx="1096861" cy="1913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added annual productivity.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redistribution of revenue is already underway; an estimated </w:t>
      </w:r>
      <w:r w:rsidDel="00000000" w:rsidR="00000000" w:rsidRPr="00000000">
        <w:rPr>
          <w:rFonts w:ascii="Google Sans" w:cs="Google Sans" w:eastAsia="Google Sans" w:hAnsi="Google Sans"/>
          <w:color w:val="1f1f1f"/>
        </w:rPr>
        <w:drawing>
          <wp:inline distB="19050" distT="19050" distL="19050" distR="19050">
            <wp:extent cx="1096861" cy="191313"/>
            <wp:effectExtent b="0" l="0" r="0" t="0"/>
            <wp:docPr id="72" name="image52.png"/>
            <a:graphic>
              <a:graphicData uri="http://schemas.openxmlformats.org/drawingml/2006/picture">
                <pic:pic>
                  <pic:nvPicPr>
                    <pic:cNvPr id="0" name="image52.png"/>
                    <pic:cNvPicPr preferRelativeResize="0"/>
                  </pic:nvPicPr>
                  <pic:blipFill>
                    <a:blip r:embed="rId14"/>
                    <a:srcRect b="0" l="0" r="0" t="0"/>
                    <a:stretch>
                      <a:fillRect/>
                    </a:stretch>
                  </pic:blipFill>
                  <pic:spPr>
                    <a:xfrm>
                      <a:off x="0" y="0"/>
                      <a:ext cx="1096861" cy="1913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global revenues is set to shift between companies in 2025 as value migrates from legacy incumbents to organizations capable of leveraging advanced intelligence at scale.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redistribution is driven by the emergence of new "domains" that cross traditional sector lines, as organizations move beyond functional silos to address holistic human needs through AI-integrated services.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1: Global Macroeconomic AI Projections (2025–2035)</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Projection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Entity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Global GDP Impact (2035)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421382" cy="191537"/>
                  <wp:effectExtent b="0" l="0" r="0" t="0"/>
                  <wp:docPr id="79" name="image63.png"/>
                  <a:graphic>
                    <a:graphicData uri="http://schemas.openxmlformats.org/drawingml/2006/picture">
                      <pic:pic>
                        <pic:nvPicPr>
                          <pic:cNvPr id="0" name="image63.png"/>
                          <pic:cNvPicPr preferRelativeResize="0"/>
                        </pic:nvPicPr>
                        <pic:blipFill>
                          <a:blip r:embed="rId15"/>
                          <a:srcRect b="0" l="0" r="0" t="0"/>
                          <a:stretch>
                            <a:fillRect/>
                          </a:stretch>
                        </pic:blipFill>
                        <pic:spPr>
                          <a:xfrm>
                            <a:off x="0" y="0"/>
                            <a:ext cx="421382" cy="19153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1f1f1f"/>
                <w:shd w:fill="auto" w:val="clear"/>
              </w:rPr>
              <w:drawing>
                <wp:inline distB="19050" distT="19050" distL="19050" distR="19050">
                  <wp:extent cx="1011041" cy="190762"/>
                  <wp:effectExtent b="0" l="0" r="0" t="0"/>
                  <wp:docPr id="75" name="image59.png"/>
                  <a:graphic>
                    <a:graphicData uri="http://schemas.openxmlformats.org/drawingml/2006/picture">
                      <pic:pic>
                        <pic:nvPicPr>
                          <pic:cNvPr id="0" name="image59.png"/>
                          <pic:cNvPicPr preferRelativeResize="0"/>
                        </pic:nvPicPr>
                        <pic:blipFill>
                          <a:blip r:embed="rId16"/>
                          <a:srcRect b="0" l="0" r="0" t="0"/>
                          <a:stretch>
                            <a:fillRect/>
                          </a:stretch>
                        </pic:blipFill>
                        <pic:spPr>
                          <a:xfrm>
                            <a:off x="0" y="0"/>
                            <a:ext cx="1011041" cy="19076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PwC / McKinsey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Annual Productivity Potential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1096861" cy="191313"/>
                  <wp:effectExtent b="0" l="0" r="0" t="0"/>
                  <wp:docPr id="77" name="image54.png"/>
                  <a:graphic>
                    <a:graphicData uri="http://schemas.openxmlformats.org/drawingml/2006/picture">
                      <pic:pic>
                        <pic:nvPicPr>
                          <pic:cNvPr id="0" name="image54.png"/>
                          <pic:cNvPicPr preferRelativeResize="0"/>
                        </pic:nvPicPr>
                        <pic:blipFill>
                          <a:blip r:embed="rId13"/>
                          <a:srcRect b="0" l="0" r="0" t="0"/>
                          <a:stretch>
                            <a:fillRect/>
                          </a:stretch>
                        </pic:blipFill>
                        <pic:spPr>
                          <a:xfrm>
                            <a:off x="0" y="0"/>
                            <a:ext cx="1096861" cy="19131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McKinsey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Revenue Shifting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1096861" cy="191313"/>
                  <wp:effectExtent b="0" l="0" r="0" t="0"/>
                  <wp:docPr id="80" name="image52.png"/>
                  <a:graphic>
                    <a:graphicData uri="http://schemas.openxmlformats.org/drawingml/2006/picture">
                      <pic:pic>
                        <pic:nvPicPr>
                          <pic:cNvPr id="0" name="image52.png"/>
                          <pic:cNvPicPr preferRelativeResize="0"/>
                        </pic:nvPicPr>
                        <pic:blipFill>
                          <a:blip r:embed="rId14"/>
                          <a:srcRect b="0" l="0" r="0" t="0"/>
                          <a:stretch>
                            <a:fillRect/>
                          </a:stretch>
                        </pic:blipFill>
                        <pic:spPr>
                          <a:xfrm>
                            <a:off x="0" y="0"/>
                            <a:ext cx="1096861" cy="19131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PwC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Global AI Market (2030)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1100728" cy="189781"/>
                  <wp:effectExtent b="0" l="0" r="0" t="0"/>
                  <wp:docPr id="82" name="image61.png"/>
                  <a:graphic>
                    <a:graphicData uri="http://schemas.openxmlformats.org/drawingml/2006/picture">
                      <pic:pic>
                        <pic:nvPicPr>
                          <pic:cNvPr id="0" name="image61.png"/>
                          <pic:cNvPicPr preferRelativeResize="0"/>
                        </pic:nvPicPr>
                        <pic:blipFill>
                          <a:blip r:embed="rId17"/>
                          <a:srcRect b="0" l="0" r="0" t="0"/>
                          <a:stretch>
                            <a:fillRect/>
                          </a:stretch>
                        </pic:blipFill>
                        <pic:spPr>
                          <a:xfrm>
                            <a:off x="0" y="0"/>
                            <a:ext cx="1100728" cy="189781"/>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Market Consensus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GenAI Software Market (2030)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1096366" cy="191227"/>
                  <wp:effectExtent b="0" l="0" r="0" t="0"/>
                  <wp:docPr id="84" name="image62.png"/>
                  <a:graphic>
                    <a:graphicData uri="http://schemas.openxmlformats.org/drawingml/2006/picture">
                      <pic:pic>
                        <pic:nvPicPr>
                          <pic:cNvPr id="0" name="image62.png"/>
                          <pic:cNvPicPr preferRelativeResize="0"/>
                        </pic:nvPicPr>
                        <pic:blipFill>
                          <a:blip r:embed="rId18"/>
                          <a:srcRect b="0" l="0" r="0" t="0"/>
                          <a:stretch>
                            <a:fillRect/>
                          </a:stretch>
                        </pic:blipFill>
                        <pic:spPr>
                          <a:xfrm>
                            <a:off x="0" y="0"/>
                            <a:ext cx="1096366" cy="19122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ABI Research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AI-Driven EBIT Impact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672207" cy="190247"/>
                  <wp:effectExtent b="0" l="0" r="0" t="0"/>
                  <wp:docPr id="86" name="image68.png"/>
                  <a:graphic>
                    <a:graphicData uri="http://schemas.openxmlformats.org/drawingml/2006/picture">
                      <pic:pic>
                        <pic:nvPicPr>
                          <pic:cNvPr id="0" name="image68.png"/>
                          <pic:cNvPicPr preferRelativeResize="0"/>
                        </pic:nvPicPr>
                        <pic:blipFill>
                          <a:blip r:embed="rId19"/>
                          <a:srcRect b="0" l="0" r="0" t="0"/>
                          <a:stretch>
                            <a:fillRect/>
                          </a:stretch>
                        </pic:blipFill>
                        <pic:spPr>
                          <a:xfrm>
                            <a:off x="0" y="0"/>
                            <a:ext cx="672207" cy="19024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for Leaders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growth dividend from AI is not guaranteed; it hinges on responsible deployment, clear governance, and public trust. In scenarios characterized by lower trust and fragmentation, the incremental boost to the global economy could be muted at </w:t>
      </w:r>
      <w:r w:rsidDel="00000000" w:rsidR="00000000" w:rsidRPr="00000000">
        <w:rPr>
          <w:rFonts w:ascii="Google Sans" w:cs="Google Sans" w:eastAsia="Google Sans" w:hAnsi="Google Sans"/>
          <w:color w:val="1f1f1f"/>
        </w:rPr>
        <w:drawing>
          <wp:inline distB="19050" distT="19050" distL="19050" distR="19050">
            <wp:extent cx="245864" cy="214343"/>
            <wp:effectExtent b="0" l="0" r="0" t="0"/>
            <wp:docPr id="88" name="image66.png"/>
            <a:graphic>
              <a:graphicData uri="http://schemas.openxmlformats.org/drawingml/2006/picture">
                <pic:pic>
                  <pic:nvPicPr>
                    <pic:cNvPr id="0" name="image66.png"/>
                    <pic:cNvPicPr preferRelativeResize="0"/>
                  </pic:nvPicPr>
                  <pic:blipFill>
                    <a:blip r:embed="rId20"/>
                    <a:srcRect b="0" l="0" r="0" t="0"/>
                    <a:stretch>
                      <a:fillRect/>
                    </a:stretch>
                  </pic:blipFill>
                  <pic:spPr>
                    <a:xfrm>
                      <a:off x="0" y="0"/>
                      <a:ext cx="245864" cy="2143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in pessimistic cases, as low as </w:t>
      </w:r>
      <w:r w:rsidDel="00000000" w:rsidR="00000000" w:rsidRPr="00000000">
        <w:rPr>
          <w:rFonts w:ascii="Google Sans" w:cs="Google Sans" w:eastAsia="Google Sans" w:hAnsi="Google Sans"/>
          <w:color w:val="1f1f1f"/>
        </w:rPr>
        <w:drawing>
          <wp:inline distB="19050" distT="19050" distL="19050" distR="19050">
            <wp:extent cx="245864" cy="214343"/>
            <wp:effectExtent b="0" l="0" r="0" t="0"/>
            <wp:docPr id="89" name="image67.png"/>
            <a:graphic>
              <a:graphicData uri="http://schemas.openxmlformats.org/drawingml/2006/picture">
                <pic:pic>
                  <pic:nvPicPr>
                    <pic:cNvPr id="0" name="image67.png"/>
                    <pic:cNvPicPr preferRelativeResize="0"/>
                  </pic:nvPicPr>
                  <pic:blipFill>
                    <a:blip r:embed="rId21"/>
                    <a:srcRect b="0" l="0" r="0" t="0"/>
                    <a:stretch>
                      <a:fillRect/>
                    </a:stretch>
                  </pic:blipFill>
                  <pic:spPr>
                    <a:xfrm>
                      <a:off x="0" y="0"/>
                      <a:ext cx="245864" cy="2143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physical climate risks are projected to potentially reduce the global economy by </w:t>
      </w:r>
      <w:r w:rsidDel="00000000" w:rsidR="00000000" w:rsidRPr="00000000">
        <w:rPr>
          <w:rFonts w:ascii="Google Sans" w:cs="Google Sans" w:eastAsia="Google Sans" w:hAnsi="Google Sans"/>
          <w:color w:val="1f1f1f"/>
        </w:rPr>
        <w:drawing>
          <wp:inline distB="19050" distT="19050" distL="19050" distR="19050">
            <wp:extent cx="245864" cy="214343"/>
            <wp:effectExtent b="0" l="0" r="0" t="0"/>
            <wp:docPr id="90" name="image69.png"/>
            <a:graphic>
              <a:graphicData uri="http://schemas.openxmlformats.org/drawingml/2006/picture">
                <pic:pic>
                  <pic:nvPicPr>
                    <pic:cNvPr id="0" name="image69.png"/>
                    <pic:cNvPicPr preferRelativeResize="0"/>
                  </pic:nvPicPr>
                  <pic:blipFill>
                    <a:blip r:embed="rId22"/>
                    <a:srcRect b="0" l="0" r="0" t="0"/>
                    <a:stretch>
                      <a:fillRect/>
                    </a:stretch>
                  </pic:blipFill>
                  <pic:spPr>
                    <a:xfrm>
                      <a:off x="0" y="0"/>
                      <a:ext cx="245864" cy="2143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 2035, meaning AI must be utilized as a tool for environmental resilience to offset these losses.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Performance Gap: Quantifying the Leader-Laggard Divide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significant disparity has emerged between a small group of high-performing companies and the rest of the market. Only </w:t>
      </w:r>
      <w:r w:rsidDel="00000000" w:rsidR="00000000" w:rsidRPr="00000000">
        <w:rPr>
          <w:rFonts w:ascii="Google Sans" w:cs="Google Sans" w:eastAsia="Google Sans" w:hAnsi="Google Sans"/>
          <w:color w:val="1f1f1f"/>
        </w:rPr>
        <w:drawing>
          <wp:inline distB="19050" distT="19050" distL="19050" distR="19050">
            <wp:extent cx="215106" cy="189799"/>
            <wp:effectExtent b="0" l="0" r="0" t="0"/>
            <wp:docPr id="91" name="image42.png"/>
            <a:graphic>
              <a:graphicData uri="http://schemas.openxmlformats.org/drawingml/2006/picture">
                <pic:pic>
                  <pic:nvPicPr>
                    <pic:cNvPr id="0" name="image42.png"/>
                    <pic:cNvPicPr preferRelativeResize="0"/>
                  </pic:nvPicPr>
                  <pic:blipFill>
                    <a:blip r:embed="rId23"/>
                    <a:srcRect b="0" l="0" r="0" t="0"/>
                    <a:stretch>
                      <a:fillRect/>
                    </a:stretch>
                  </pic:blipFill>
                  <pic:spPr>
                    <a:xfrm>
                      <a:off x="0" y="0"/>
                      <a:ext cx="215106" cy="1897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firms worldwide are categorized as "future-built," having successfully scaled AI across the enterprise to achieve material financial impact.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These elite organizations achieve five times the revenue increases and three times the cost reductions of their peers.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remaining market is bifurcated between "scalers" (</w:t>
      </w:r>
      <w:r w:rsidDel="00000000" w:rsidR="00000000" w:rsidRPr="00000000">
        <w:rPr>
          <w:rFonts w:ascii="Google Sans" w:cs="Google Sans" w:eastAsia="Google Sans" w:hAnsi="Google Sans"/>
          <w:color w:val="1f1f1f"/>
        </w:rPr>
        <w:drawing>
          <wp:inline distB="19050" distT="19050" distL="19050" distR="19050">
            <wp:extent cx="338038" cy="221025"/>
            <wp:effectExtent b="0" l="0" r="0" t="0"/>
            <wp:docPr id="45"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338038" cy="2210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who are beginning to generate value, and "stagnating or emerging" firms (</w:t>
      </w:r>
      <w:r w:rsidDel="00000000" w:rsidR="00000000" w:rsidRPr="00000000">
        <w:rPr>
          <w:rFonts w:ascii="Google Sans" w:cs="Google Sans" w:eastAsia="Google Sans" w:hAnsi="Google Sans"/>
          <w:color w:val="1f1f1f"/>
        </w:rPr>
        <w:drawing>
          <wp:inline distB="19050" distT="19050" distL="19050" distR="19050">
            <wp:extent cx="338038" cy="221025"/>
            <wp:effectExtent b="0" l="0" r="0" t="0"/>
            <wp:docPr id="47" name="image35.png"/>
            <a:graphic>
              <a:graphicData uri="http://schemas.openxmlformats.org/drawingml/2006/picture">
                <pic:pic>
                  <pic:nvPicPr>
                    <pic:cNvPr id="0" name="image35.png"/>
                    <pic:cNvPicPr preferRelativeResize="0"/>
                  </pic:nvPicPr>
                  <pic:blipFill>
                    <a:blip r:embed="rId25"/>
                    <a:srcRect b="0" l="0" r="0" t="0"/>
                    <a:stretch>
                      <a:fillRect/>
                    </a:stretch>
                  </pic:blipFill>
                  <pic:spPr>
                    <a:xfrm>
                      <a:off x="0" y="0"/>
                      <a:ext cx="338038" cy="2210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who report minimal material gains despite substantial investment.</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Differentiators of Future-Built Firms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distinction between leaders and laggards is rooted in several interlinked strategies. Future-built companies move beyond incremental pilots to a top-down, multiyear agenda mandated by the CEO and board, rather than delegating AI to middle management.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These firms are three times as likely to appoint a Chief AI Officer (CAIO) and twice as likely to have a Chief Data Officer (CDO) to remove structural barriers.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Financially, these leaders dedicate </w:t>
      </w:r>
      <w:r w:rsidDel="00000000" w:rsidR="00000000" w:rsidRPr="00000000">
        <w:rPr>
          <w:rFonts w:ascii="Google Sans" w:cs="Google Sans" w:eastAsia="Google Sans" w:hAnsi="Google Sans"/>
          <w:color w:val="1f1f1f"/>
        </w:rPr>
        <w:drawing>
          <wp:inline distB="19050" distT="19050" distL="19050" distR="19050">
            <wp:extent cx="338038" cy="221025"/>
            <wp:effectExtent b="0" l="0" r="0" t="0"/>
            <wp:docPr id="49" name="image33.png"/>
            <a:graphic>
              <a:graphicData uri="http://schemas.openxmlformats.org/drawingml/2006/picture">
                <pic:pic>
                  <pic:nvPicPr>
                    <pic:cNvPr id="0" name="image33.png"/>
                    <pic:cNvPicPr preferRelativeResize="0"/>
                  </pic:nvPicPr>
                  <pic:blipFill>
                    <a:blip r:embed="rId26"/>
                    <a:srcRect b="0" l="0" r="0" t="0"/>
                    <a:stretch>
                      <a:fillRect/>
                    </a:stretch>
                  </pic:blipFill>
                  <pic:spPr>
                    <a:xfrm>
                      <a:off x="0" y="0"/>
                      <a:ext cx="338038" cy="2210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more of their IT budget to AI than laggards, resulting in an overall AI investment level that is </w:t>
      </w:r>
      <w:r w:rsidDel="00000000" w:rsidR="00000000" w:rsidRPr="00000000">
        <w:rPr>
          <w:rFonts w:ascii="Google Sans" w:cs="Google Sans" w:eastAsia="Google Sans" w:hAnsi="Google Sans"/>
          <w:color w:val="1f1f1f"/>
        </w:rPr>
        <w:drawing>
          <wp:inline distB="19050" distT="19050" distL="19050" distR="19050">
            <wp:extent cx="430312" cy="218367"/>
            <wp:effectExtent b="0" l="0" r="0" t="0"/>
            <wp:docPr id="51" name="image44.png"/>
            <a:graphic>
              <a:graphicData uri="http://schemas.openxmlformats.org/drawingml/2006/picture">
                <pic:pic>
                  <pic:nvPicPr>
                    <pic:cNvPr id="0" name="image44.png"/>
                    <pic:cNvPicPr preferRelativeResize="0"/>
                  </pic:nvPicPr>
                  <pic:blipFill>
                    <a:blip r:embed="rId27"/>
                    <a:srcRect b="0" l="0" r="0" t="0"/>
                    <a:stretch>
                      <a:fillRect/>
                    </a:stretch>
                  </pic:blipFill>
                  <pic:spPr>
                    <a:xfrm>
                      <a:off x="0" y="0"/>
                      <a:ext cx="430312" cy="2183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higher.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They exhibit a higher intensity of usage; "frontier firms" consume significantly more intelligence tokens and utilize the most capable models for specialized, non-routine tasks.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2: Performance and Investment Benchmarks (Leaders vs. Laggards)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Future-Built (Top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Stagnating (Bottom 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Revenue Growth Multiple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91505" cy="190112"/>
                  <wp:effectExtent b="0" l="0" r="0" t="0"/>
                  <wp:docPr id="53" name="image41.png"/>
                  <a:graphic>
                    <a:graphicData uri="http://schemas.openxmlformats.org/drawingml/2006/picture">
                      <pic:pic>
                        <pic:nvPicPr>
                          <pic:cNvPr id="0" name="image41.png"/>
                          <pic:cNvPicPr preferRelativeResize="0"/>
                        </pic:nvPicPr>
                        <pic:blipFill>
                          <a:blip r:embed="rId28"/>
                          <a:srcRect b="0" l="0" r="0" t="0"/>
                          <a:stretch>
                            <a:fillRect/>
                          </a:stretch>
                        </pic:blipFill>
                        <pic:spPr>
                          <a:xfrm>
                            <a:off x="0" y="0"/>
                            <a:ext cx="291505" cy="19011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91505" cy="190112"/>
                  <wp:effectExtent b="0" l="0" r="0" t="0"/>
                  <wp:docPr id="55"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291505" cy="19011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EBIT Margin Multiple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91505" cy="190112"/>
                  <wp:effectExtent b="0" l="0" r="0" t="0"/>
                  <wp:docPr id="57" name="image57.png"/>
                  <a:graphic>
                    <a:graphicData uri="http://schemas.openxmlformats.org/drawingml/2006/picture">
                      <pic:pic>
                        <pic:nvPicPr>
                          <pic:cNvPr id="0" name="image57.png"/>
                          <pic:cNvPicPr preferRelativeResize="0"/>
                        </pic:nvPicPr>
                        <pic:blipFill>
                          <a:blip r:embed="rId30"/>
                          <a:srcRect b="0" l="0" r="0" t="0"/>
                          <a:stretch>
                            <a:fillRect/>
                          </a:stretch>
                        </pic:blipFill>
                        <pic:spPr>
                          <a:xfrm>
                            <a:off x="0" y="0"/>
                            <a:ext cx="291505" cy="19011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91505" cy="190112"/>
                  <wp:effectExtent b="0" l="0" r="0" t="0"/>
                  <wp:docPr id="58"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291505" cy="19011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Share of IT Budget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(approx. </w:t>
            </w:r>
            <w:r w:rsidDel="00000000" w:rsidR="00000000" w:rsidRPr="00000000">
              <w:rPr>
                <w:rFonts w:ascii="Google Sans" w:cs="Google Sans" w:eastAsia="Google Sans" w:hAnsi="Google Sans"/>
                <w:color w:val="1f1f1f"/>
                <w:shd w:fill="auto" w:val="clear"/>
              </w:rPr>
              <w:drawing>
                <wp:inline distB="19050" distT="19050" distL="19050" distR="19050">
                  <wp:extent cx="421382" cy="191537"/>
                  <wp:effectExtent b="0" l="0" r="0" t="0"/>
                  <wp:docPr id="59" name="image46.png"/>
                  <a:graphic>
                    <a:graphicData uri="http://schemas.openxmlformats.org/drawingml/2006/picture">
                      <pic:pic>
                        <pic:nvPicPr>
                          <pic:cNvPr id="0" name="image46.png"/>
                          <pic:cNvPicPr preferRelativeResize="0"/>
                        </pic:nvPicPr>
                        <pic:blipFill>
                          <a:blip r:embed="rId31"/>
                          <a:srcRect b="0" l="0" r="0" t="0"/>
                          <a:stretch>
                            <a:fillRect/>
                          </a:stretch>
                        </pic:blipFill>
                        <pic:spPr>
                          <a:xfrm>
                            <a:off x="0" y="0"/>
                            <a:ext cx="421382" cy="19153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(under </w:t>
            </w:r>
            <w:r w:rsidDel="00000000" w:rsidR="00000000" w:rsidRPr="00000000">
              <w:rPr>
                <w:rFonts w:ascii="Google Sans" w:cs="Google Sans" w:eastAsia="Google Sans" w:hAnsi="Google Sans"/>
                <w:color w:val="1f1f1f"/>
                <w:shd w:fill="auto" w:val="clear"/>
              </w:rPr>
              <w:drawing>
                <wp:inline distB="19050" distT="19050" distL="19050" distR="19050">
                  <wp:extent cx="215106" cy="189799"/>
                  <wp:effectExtent b="0" l="0" r="0" t="0"/>
                  <wp:docPr id="60" name="image42.png"/>
                  <a:graphic>
                    <a:graphicData uri="http://schemas.openxmlformats.org/drawingml/2006/picture">
                      <pic:pic>
                        <pic:nvPicPr>
                          <pic:cNvPr id="0" name="image42.png"/>
                          <pic:cNvPicPr preferRelativeResize="0"/>
                        </pic:nvPicPr>
                        <pic:blipFill>
                          <a:blip r:embed="rId23"/>
                          <a:srcRect b="0" l="0" r="0" t="0"/>
                          <a:stretch>
                            <a:fillRect/>
                          </a:stretch>
                        </pic:blipFill>
                        <pic:spPr>
                          <a:xfrm>
                            <a:off x="0" y="0"/>
                            <a:ext cx="215106" cy="18979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Workflows in Production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95771" cy="192894"/>
                  <wp:effectExtent b="0" l="0" r="0" t="0"/>
                  <wp:docPr id="24" name="image37.png"/>
                  <a:graphic>
                    <a:graphicData uri="http://schemas.openxmlformats.org/drawingml/2006/picture">
                      <pic:pic>
                        <pic:nvPicPr>
                          <pic:cNvPr id="0" name="image37.png"/>
                          <pic:cNvPicPr preferRelativeResize="0"/>
                        </pic:nvPicPr>
                        <pic:blipFill>
                          <a:blip r:embed="rId32"/>
                          <a:srcRect b="0" l="0" r="0" t="0"/>
                          <a:stretch>
                            <a:fillRect/>
                          </a:stretch>
                        </pic:blipFill>
                        <pic:spPr>
                          <a:xfrm>
                            <a:off x="0" y="0"/>
                            <a:ext cx="295771" cy="192894"/>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95771" cy="192894"/>
                  <wp:effectExtent b="0" l="0" r="0" t="0"/>
                  <wp:docPr id="26" name="image25.png"/>
                  <a:graphic>
                    <a:graphicData uri="http://schemas.openxmlformats.org/drawingml/2006/picture">
                      <pic:pic>
                        <pic:nvPicPr>
                          <pic:cNvPr id="0" name="image25.png"/>
                          <pic:cNvPicPr preferRelativeResize="0"/>
                        </pic:nvPicPr>
                        <pic:blipFill>
                          <a:blip r:embed="rId33"/>
                          <a:srcRect b="0" l="0" r="0" t="0"/>
                          <a:stretch>
                            <a:fillRect/>
                          </a:stretch>
                        </pic:blipFill>
                        <pic:spPr>
                          <a:xfrm>
                            <a:off x="0" y="0"/>
                            <a:ext cx="295771" cy="192894"/>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Total Shareholder Return (3yr)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91505" cy="190112"/>
                  <wp:effectExtent b="0" l="0" r="0" t="0"/>
                  <wp:docPr id="28" name="image22.png"/>
                  <a:graphic>
                    <a:graphicData uri="http://schemas.openxmlformats.org/drawingml/2006/picture">
                      <pic:pic>
                        <pic:nvPicPr>
                          <pic:cNvPr id="0" name="image22.png"/>
                          <pic:cNvPicPr preferRelativeResize="0"/>
                        </pic:nvPicPr>
                        <pic:blipFill>
                          <a:blip r:embed="rId34"/>
                          <a:srcRect b="0" l="0" r="0" t="0"/>
                          <a:stretch>
                            <a:fillRect/>
                          </a:stretch>
                        </pic:blipFill>
                        <pic:spPr>
                          <a:xfrm>
                            <a:off x="0" y="0"/>
                            <a:ext cx="291505" cy="19011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91505" cy="190112"/>
                  <wp:effectExtent b="0" l="0" r="0" t="0"/>
                  <wp:docPr id="30"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291505" cy="19011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Deployment Speed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403424" cy="192107"/>
                  <wp:effectExtent b="0" l="0" r="0" t="0"/>
                  <wp:docPr id="32" name="image27.png"/>
                  <a:graphic>
                    <a:graphicData uri="http://schemas.openxmlformats.org/drawingml/2006/picture">
                      <pic:pic>
                        <pic:nvPicPr>
                          <pic:cNvPr id="0" name="image27.png"/>
                          <pic:cNvPicPr preferRelativeResize="0"/>
                        </pic:nvPicPr>
                        <pic:blipFill>
                          <a:blip r:embed="rId35"/>
                          <a:srcRect b="0" l="0" r="0" t="0"/>
                          <a:stretch>
                            <a:fillRect/>
                          </a:stretch>
                        </pic:blipFill>
                        <pic:spPr>
                          <a:xfrm>
                            <a:off x="0" y="0"/>
                            <a:ext cx="403424" cy="19210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Months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87040" cy="191360"/>
                  <wp:effectExtent b="0" l="0" r="0" t="0"/>
                  <wp:docPr id="34" name="image48.png"/>
                  <a:graphic>
                    <a:graphicData uri="http://schemas.openxmlformats.org/drawingml/2006/picture">
                      <pic:pic>
                        <pic:nvPicPr>
                          <pic:cNvPr id="0" name="image48.png"/>
                          <pic:cNvPicPr preferRelativeResize="0"/>
                        </pic:nvPicPr>
                        <pic:blipFill>
                          <a:blip r:embed="rId36"/>
                          <a:srcRect b="0" l="0" r="0" t="0"/>
                          <a:stretch>
                            <a:fillRect/>
                          </a:stretch>
                        </pic:blipFill>
                        <pic:spPr>
                          <a:xfrm>
                            <a:off x="0" y="0"/>
                            <a:ext cx="287040" cy="19136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Months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11</w:t>
            </w:r>
          </w:p>
        </w:tc>
      </w:tr>
    </w:tbl>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"virtuous cycle" of the leaders allows them to reinvest early AI gains back into new tools, talent, and innovations, further widening the gap.</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Conversely, many organizations are stuck in "pilot purgatory," with nearly two-thirds of respondents reporting that they have not yet begun scaling AI across the enterprise.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Investment Trends and Capital Allocation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Investment in AI has reached unprecedented levels, with corporate spending transitioning from "science fair" experiments to production-focused ROI.</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 2025, AI investments reached </w:t>
      </w:r>
      <w:r w:rsidDel="00000000" w:rsidR="00000000" w:rsidRPr="00000000">
        <w:rPr>
          <w:rFonts w:ascii="Google Sans" w:cs="Google Sans" w:eastAsia="Google Sans" w:hAnsi="Google Sans"/>
          <w:color w:val="1f1f1f"/>
        </w:rPr>
        <w:drawing>
          <wp:inline distB="19050" distT="19050" distL="19050" distR="19050">
            <wp:extent cx="1396403" cy="215808"/>
            <wp:effectExtent b="0" l="0" r="0" t="0"/>
            <wp:docPr id="36" name="image28.png"/>
            <a:graphic>
              <a:graphicData uri="http://schemas.openxmlformats.org/drawingml/2006/picture">
                <pic:pic>
                  <pic:nvPicPr>
                    <pic:cNvPr id="0" name="image28.png"/>
                    <pic:cNvPicPr preferRelativeResize="0"/>
                  </pic:nvPicPr>
                  <pic:blipFill>
                    <a:blip r:embed="rId37"/>
                    <a:srcRect b="0" l="0" r="0" t="0"/>
                    <a:stretch>
                      <a:fillRect/>
                    </a:stretch>
                  </pic:blipFill>
                  <pic:spPr>
                    <a:xfrm>
                      <a:off x="0" y="0"/>
                      <a:ext cx="1396403" cy="2158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surpassing previous records.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AI companies accounted for </w:t>
      </w:r>
      <w:r w:rsidDel="00000000" w:rsidR="00000000" w:rsidRPr="00000000">
        <w:rPr>
          <w:rFonts w:ascii="Google Sans" w:cs="Google Sans" w:eastAsia="Google Sans" w:hAnsi="Google Sans"/>
          <w:color w:val="1f1f1f"/>
        </w:rPr>
        <w:drawing>
          <wp:inline distB="19050" distT="19050" distL="19050" distR="19050">
            <wp:extent cx="338038" cy="221025"/>
            <wp:effectExtent b="0" l="0" r="0" t="0"/>
            <wp:docPr id="37" name="image34.png"/>
            <a:graphic>
              <a:graphicData uri="http://schemas.openxmlformats.org/drawingml/2006/picture">
                <pic:pic>
                  <pic:nvPicPr>
                    <pic:cNvPr id="0" name="image34.png"/>
                    <pic:cNvPicPr preferRelativeResize="0"/>
                  </pic:nvPicPr>
                  <pic:blipFill>
                    <a:blip r:embed="rId38"/>
                    <a:srcRect b="0" l="0" r="0" t="0"/>
                    <a:stretch>
                      <a:fillRect/>
                    </a:stretch>
                  </pic:blipFill>
                  <pic:spPr>
                    <a:xfrm>
                      <a:off x="0" y="0"/>
                      <a:ext cx="338038" cy="2210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total equity funding in 2025, indicating that one in two invested dollars is now directed toward the AI ecosystem.</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Shift Toward Agentic and Infrastructure Investment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Budgets are increasingly shifting from core IT capabilities—such as general infrastructure—into generative AI and agentic initiatives.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Future-built companies are leading this charge, planning to spend </w:t>
      </w:r>
      <w:r w:rsidDel="00000000" w:rsidR="00000000" w:rsidRPr="00000000">
        <w:rPr>
          <w:rFonts w:ascii="Google Sans" w:cs="Google Sans" w:eastAsia="Google Sans" w:hAnsi="Google Sans"/>
          <w:color w:val="1f1f1f"/>
        </w:rPr>
        <w:drawing>
          <wp:inline distB="19050" distT="19050" distL="19050" distR="19050">
            <wp:extent cx="338038" cy="221025"/>
            <wp:effectExtent b="0" l="0" r="0" t="0"/>
            <wp:docPr id="38" name="image29.png"/>
            <a:graphic>
              <a:graphicData uri="http://schemas.openxmlformats.org/drawingml/2006/picture">
                <pic:pic>
                  <pic:nvPicPr>
                    <pic:cNvPr id="0" name="image29.png"/>
                    <pic:cNvPicPr preferRelativeResize="0"/>
                  </pic:nvPicPr>
                  <pic:blipFill>
                    <a:blip r:embed="rId39"/>
                    <a:srcRect b="0" l="0" r="0" t="0"/>
                    <a:stretch>
                      <a:fillRect/>
                    </a:stretch>
                  </pic:blipFill>
                  <pic:spPr>
                    <a:xfrm>
                      <a:off x="0" y="0"/>
                      <a:ext cx="338038" cy="2210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more on IT in 2025, with a specific focus on AI agents, which are projected to reach </w:t>
      </w:r>
      <w:r w:rsidDel="00000000" w:rsidR="00000000" w:rsidRPr="00000000">
        <w:rPr>
          <w:rFonts w:ascii="Google Sans" w:cs="Google Sans" w:eastAsia="Google Sans" w:hAnsi="Google Sans"/>
          <w:color w:val="1f1f1f"/>
        </w:rPr>
        <w:drawing>
          <wp:inline distB="19050" distT="19050" distL="19050" distR="19050">
            <wp:extent cx="338038" cy="221025"/>
            <wp:effectExtent b="0" l="0" r="0" t="0"/>
            <wp:docPr id="39" name="image8.png"/>
            <a:graphic>
              <a:graphicData uri="http://schemas.openxmlformats.org/drawingml/2006/picture">
                <pic:pic>
                  <pic:nvPicPr>
                    <pic:cNvPr id="0" name="image8.png"/>
                    <pic:cNvPicPr preferRelativeResize="0"/>
                  </pic:nvPicPr>
                  <pic:blipFill>
                    <a:blip r:embed="rId40"/>
                    <a:srcRect b="0" l="0" r="0" t="0"/>
                    <a:stretch>
                      <a:fillRect/>
                    </a:stretch>
                  </pic:blipFill>
                  <pic:spPr>
                    <a:xfrm>
                      <a:off x="0" y="0"/>
                      <a:ext cx="338038" cy="2210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total AI value by 2028.</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3: Corporate AI Spending and Budgeting Trends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Investment Area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Metric / Projection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IT Budget Allocation to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95771" cy="192894"/>
                  <wp:effectExtent b="0" l="0" r="0" t="0"/>
                  <wp:docPr id="3" name="image6.png"/>
                  <a:graphic>
                    <a:graphicData uri="http://schemas.openxmlformats.org/drawingml/2006/picture">
                      <pic:pic>
                        <pic:nvPicPr>
                          <pic:cNvPr id="0" name="image6.png"/>
                          <pic:cNvPicPr preferRelativeResize="0"/>
                        </pic:nvPicPr>
                        <pic:blipFill>
                          <a:blip r:embed="rId41"/>
                          <a:srcRect b="0" l="0" r="0" t="0"/>
                          <a:stretch>
                            <a:fillRect/>
                          </a:stretch>
                        </pic:blipFill>
                        <pic:spPr>
                          <a:xfrm>
                            <a:off x="0" y="0"/>
                            <a:ext cx="295771" cy="19289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of firms spend </w:t>
            </w:r>
            <w:r w:rsidDel="00000000" w:rsidR="00000000" w:rsidRPr="00000000">
              <w:rPr>
                <w:rFonts w:ascii="Google Sans" w:cs="Google Sans" w:eastAsia="Google Sans" w:hAnsi="Google Sans"/>
                <w:color w:val="1f1f1f"/>
                <w:shd w:fill="auto" w:val="clear"/>
              </w:rPr>
              <w:drawing>
                <wp:inline distB="19050" distT="19050" distL="19050" distR="19050">
                  <wp:extent cx="385465" cy="192733"/>
                  <wp:effectExtent b="0" l="0" r="0" t="0"/>
                  <wp:docPr id="5"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385465" cy="19273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Planned Budget Increase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95771" cy="192894"/>
                  <wp:effectExtent b="0" l="0" r="0" t="0"/>
                  <wp:docPr id="7" name="image6.png"/>
                  <a:graphic>
                    <a:graphicData uri="http://schemas.openxmlformats.org/drawingml/2006/picture">
                      <pic:pic>
                        <pic:nvPicPr>
                          <pic:cNvPr id="0" name="image6.png"/>
                          <pic:cNvPicPr preferRelativeResize="0"/>
                        </pic:nvPicPr>
                        <pic:blipFill>
                          <a:blip r:embed="rId41"/>
                          <a:srcRect b="0" l="0" r="0" t="0"/>
                          <a:stretch>
                            <a:fillRect/>
                          </a:stretch>
                        </pic:blipFill>
                        <pic:spPr>
                          <a:xfrm>
                            <a:off x="0" y="0"/>
                            <a:ext cx="295771" cy="19289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of organizations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Spending on AI Agents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95771" cy="192894"/>
                  <wp:effectExtent b="0" l="0" r="0" t="0"/>
                  <wp:docPr id="9"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95771" cy="19289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of AI budget (Leaders)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Hardware &amp; Infrastructure Share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95771" cy="192894"/>
                  <wp:effectExtent b="0" l="0" r="0" t="0"/>
                  <wp:docPr id="11" name="image5.png"/>
                  <a:graphic>
                    <a:graphicData uri="http://schemas.openxmlformats.org/drawingml/2006/picture">
                      <pic:pic>
                        <pic:nvPicPr>
                          <pic:cNvPr id="0" name="image5.png"/>
                          <pic:cNvPicPr preferRelativeResize="0"/>
                        </pic:nvPicPr>
                        <pic:blipFill>
                          <a:blip r:embed="rId43"/>
                          <a:srcRect b="0" l="0" r="0" t="0"/>
                          <a:stretch>
                            <a:fillRect/>
                          </a:stretch>
                        </pic:blipFill>
                        <pic:spPr>
                          <a:xfrm>
                            <a:off x="0" y="0"/>
                            <a:ext cx="295771" cy="19289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of total AI spend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Services Share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95771" cy="192894"/>
                  <wp:effectExtent b="0" l="0" r="0" t="0"/>
                  <wp:docPr id="13" name="image14.png"/>
                  <a:graphic>
                    <a:graphicData uri="http://schemas.openxmlformats.org/drawingml/2006/picture">
                      <pic:pic>
                        <pic:nvPicPr>
                          <pic:cNvPr id="0" name="image14.png"/>
                          <pic:cNvPicPr preferRelativeResize="0"/>
                        </pic:nvPicPr>
                        <pic:blipFill>
                          <a:blip r:embed="rId44"/>
                          <a:srcRect b="0" l="0" r="0" t="0"/>
                          <a:stretch>
                            <a:fillRect/>
                          </a:stretch>
                        </pic:blipFill>
                        <pic:spPr>
                          <a:xfrm>
                            <a:off x="0" y="0"/>
                            <a:ext cx="295771" cy="19289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(Expected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Revenue Growth Hopes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95771" cy="192894"/>
                  <wp:effectExtent b="0" l="0" r="0" t="0"/>
                  <wp:docPr id="15" name="image13.png"/>
                  <a:graphic>
                    <a:graphicData uri="http://schemas.openxmlformats.org/drawingml/2006/picture">
                      <pic:pic>
                        <pic:nvPicPr>
                          <pic:cNvPr id="0" name="image13.png"/>
                          <pic:cNvPicPr preferRelativeResize="0"/>
                        </pic:nvPicPr>
                        <pic:blipFill>
                          <a:blip r:embed="rId45"/>
                          <a:srcRect b="0" l="0" r="0" t="0"/>
                          <a:stretch>
                            <a:fillRect/>
                          </a:stretch>
                        </pic:blipFill>
                        <pic:spPr>
                          <a:xfrm>
                            <a:off x="0" y="0"/>
                            <a:ext cx="295771" cy="19289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of AI initiatives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15</w:t>
            </w:r>
          </w:p>
        </w:tc>
      </w:tr>
    </w:tbl>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Investor sentiment remains cautiously optimistic. While </w:t>
      </w:r>
      <w:r w:rsidDel="00000000" w:rsidR="00000000" w:rsidRPr="00000000">
        <w:rPr>
          <w:rFonts w:ascii="Google Sans" w:cs="Google Sans" w:eastAsia="Google Sans" w:hAnsi="Google Sans"/>
          <w:color w:val="1f1f1f"/>
        </w:rPr>
        <w:drawing>
          <wp:inline distB="19050" distT="19050" distL="19050" distR="19050">
            <wp:extent cx="338038" cy="221025"/>
            <wp:effectExtent b="0" l="0" r="0" t="0"/>
            <wp:docPr id="16" name="image11.png"/>
            <a:graphic>
              <a:graphicData uri="http://schemas.openxmlformats.org/drawingml/2006/picture">
                <pic:pic>
                  <pic:nvPicPr>
                    <pic:cNvPr id="0" name="image11.png"/>
                    <pic:cNvPicPr preferRelativeResize="0"/>
                  </pic:nvPicPr>
                  <pic:blipFill>
                    <a:blip r:embed="rId46"/>
                    <a:srcRect b="0" l="0" r="0" t="0"/>
                    <a:stretch>
                      <a:fillRect/>
                    </a:stretch>
                  </pic:blipFill>
                  <pic:spPr>
                    <a:xfrm>
                      <a:off x="0" y="0"/>
                      <a:ext cx="338038" cy="2210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investors report that their portfolio companies have realized productivity gains from generative AI, they are demanding greater discipline.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Investors want to see concrete plans that translate technology programs into margin and revenue improvements, protected against geopolitical and inflationary risks.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Rise of Agentic AI: The Next Paradigm of Autonomy</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enterprise AI landscape is currently undergoing a paradigm shift from passive assistants to autonomous agents. AI agents are systems capable of sensing, reasoning, planning, and acting independently to achieve complex goals across various software ecosystems.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By 2028, the "Agentic Enterprise" is expected to be the new standard, with agents handling </w:t>
      </w:r>
      <w:r w:rsidDel="00000000" w:rsidR="00000000" w:rsidRPr="00000000">
        <w:rPr>
          <w:rFonts w:ascii="Google Sans" w:cs="Google Sans" w:eastAsia="Google Sans" w:hAnsi="Google Sans"/>
          <w:color w:val="1f1f1f"/>
        </w:rPr>
        <w:drawing>
          <wp:inline distB="19050" distT="19050" distL="19050" distR="19050">
            <wp:extent cx="338038" cy="221025"/>
            <wp:effectExtent b="0" l="0" r="0" t="0"/>
            <wp:docPr id="17" name="image8.png"/>
            <a:graphic>
              <a:graphicData uri="http://schemas.openxmlformats.org/drawingml/2006/picture">
                <pic:pic>
                  <pic:nvPicPr>
                    <pic:cNvPr id="0" name="image8.png"/>
                    <pic:cNvPicPr preferRelativeResize="0"/>
                  </pic:nvPicPr>
                  <pic:blipFill>
                    <a:blip r:embed="rId40"/>
                    <a:srcRect b="0" l="0" r="0" t="0"/>
                    <a:stretch>
                      <a:fillRect/>
                    </a:stretch>
                  </pic:blipFill>
                  <pic:spPr>
                    <a:xfrm>
                      <a:off x="0" y="0"/>
                      <a:ext cx="338038" cy="2210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the value created by AI.</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Functional and Architectural Pillars of AI Agents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Unlike traditional robotic process automation (RPA), which is rule-bound, agentic AI uses foundation models to manage unpredictable situations and communicate via natural language.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These agents break down high-level tasks into sub-tasks, coordinate with specialized sub-agents, and execute actions through standard interfaces like APIs or even human-centric tools like web browsers.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deployment of these systems is increasingly managed through an "Agentic AI Mesh" architecture.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mesh provides a unified framework to coordinate custom-built and off-the-shelf agents while maintaining observability and governance.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4: The Evolution of the Agentic Enterprise (2025–2028)</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2025 (Pilot/Assist)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2028 (Autonomous)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Decision-Making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Human-in-the-loop; rule-based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Highly independent; proactive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Task Complexity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Repetitive, discrete tasks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Complex, multi-step workflows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Orchestration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Single agent or assistant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Multi-agent collaborative systems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Point-to-point via APIs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Platform-native Agent 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Learning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Static or limited feedback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Self-improving; reinforcement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Leading organizations are already deploying agents across diverse functions. In financial services, agents capture meeting actions and draft communications autonomously.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In the airline industry, agents rebook flights and reroute luggage, freeing human staff for complex problem-solving.</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However, a significant governance gap persists; only </w:t>
      </w:r>
      <w:r w:rsidDel="00000000" w:rsidR="00000000" w:rsidRPr="00000000">
        <w:rPr>
          <w:rFonts w:ascii="Google Sans" w:cs="Google Sans" w:eastAsia="Google Sans" w:hAnsi="Google Sans"/>
          <w:color w:val="1f1f1f"/>
        </w:rPr>
        <w:drawing>
          <wp:inline distB="19050" distT="19050" distL="19050" distR="19050">
            <wp:extent cx="295771" cy="192894"/>
            <wp:effectExtent b="0" l="0" r="0" t="0"/>
            <wp:docPr id="18"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295771" cy="1928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companies have a mature model for agent governance, creating a risk of "agent sprawl" and uncontrolled autonomy.</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Infrastructure: The Exponential Compute Challenge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to a multi-agent, AI-native business model requires a massive increase in computational power. AI’s compute demand is growing at more than twice the rate of Moore’s Law, doubling every few months rather than every two years.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By 2030, global compute requirements could reach </w:t>
      </w:r>
      <w:r w:rsidDel="00000000" w:rsidR="00000000" w:rsidRPr="00000000">
        <w:rPr>
          <w:rFonts w:ascii="Google Sans" w:cs="Google Sans" w:eastAsia="Google Sans" w:hAnsi="Google Sans"/>
          <w:color w:val="1f1f1f"/>
        </w:rPr>
        <w:drawing>
          <wp:inline distB="19050" distT="19050" distL="19050" distR="19050">
            <wp:extent cx="1001611" cy="191391"/>
            <wp:effectExtent b="0" l="0" r="0" t="0"/>
            <wp:docPr id="67" name="image43.png"/>
            <a:graphic>
              <a:graphicData uri="http://schemas.openxmlformats.org/drawingml/2006/picture">
                <pic:pic>
                  <pic:nvPicPr>
                    <pic:cNvPr id="0" name="image43.png"/>
                    <pic:cNvPicPr preferRelativeResize="0"/>
                  </pic:nvPicPr>
                  <pic:blipFill>
                    <a:blip r:embed="rId48"/>
                    <a:srcRect b="0" l="0" r="0" t="0"/>
                    <a:stretch>
                      <a:fillRect/>
                    </a:stretch>
                  </pic:blipFill>
                  <pic:spPr>
                    <a:xfrm>
                      <a:off x="0" y="0"/>
                      <a:ext cx="1001611" cy="1913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the United States requiring </w:t>
      </w:r>
      <w:r w:rsidDel="00000000" w:rsidR="00000000" w:rsidRPr="00000000">
        <w:rPr>
          <w:rFonts w:ascii="Google Sans" w:cs="Google Sans" w:eastAsia="Google Sans" w:hAnsi="Google Sans"/>
          <w:color w:val="1f1f1f"/>
        </w:rPr>
        <w:drawing>
          <wp:inline distB="19050" distT="19050" distL="19050" distR="19050">
            <wp:extent cx="1001611" cy="191391"/>
            <wp:effectExtent b="0" l="0" r="0" t="0"/>
            <wp:docPr id="70" name="image58.png"/>
            <a:graphic>
              <a:graphicData uri="http://schemas.openxmlformats.org/drawingml/2006/picture">
                <pic:pic>
                  <pic:nvPicPr>
                    <pic:cNvPr id="0" name="image58.png"/>
                    <pic:cNvPicPr preferRelativeResize="0"/>
                  </pic:nvPicPr>
                  <pic:blipFill>
                    <a:blip r:embed="rId49"/>
                    <a:srcRect b="0" l="0" r="0" t="0"/>
                    <a:stretch>
                      <a:fillRect/>
                    </a:stretch>
                  </pic:blipFill>
                  <pic:spPr>
                    <a:xfrm>
                      <a:off x="0" y="0"/>
                      <a:ext cx="1001611" cy="1913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—a staggering sum for a grid that has seen flat growth for decades.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Capital Intensity of the AI Era</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Building the necessary data centers to meet this demand will require approximately </w:t>
      </w:r>
      <w:r w:rsidDel="00000000" w:rsidR="00000000" w:rsidRPr="00000000">
        <w:rPr>
          <w:rFonts w:ascii="Google Sans" w:cs="Google Sans" w:eastAsia="Google Sans" w:hAnsi="Google Sans"/>
          <w:color w:val="1f1f1f"/>
        </w:rPr>
        <w:drawing>
          <wp:inline distB="19050" distT="19050" distL="19050" distR="19050">
            <wp:extent cx="1096366" cy="191227"/>
            <wp:effectExtent b="0" l="0" r="0" t="0"/>
            <wp:docPr id="71" name="image53.png"/>
            <a:graphic>
              <a:graphicData uri="http://schemas.openxmlformats.org/drawingml/2006/picture">
                <pic:pic>
                  <pic:nvPicPr>
                    <pic:cNvPr id="0" name="image53.png"/>
                    <pic:cNvPicPr preferRelativeResize="0"/>
                  </pic:nvPicPr>
                  <pic:blipFill>
                    <a:blip r:embed="rId50"/>
                    <a:srcRect b="0" l="0" r="0" t="0"/>
                    <a:stretch>
                      <a:fillRect/>
                    </a:stretch>
                  </pic:blipFill>
                  <pic:spPr>
                    <a:xfrm>
                      <a:off x="0" y="0"/>
                      <a:ext cx="1096366" cy="1912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capital investment annually.</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For private sector firms to fund this capex, cloud service providers must generate nearly </w:t>
      </w:r>
      <w:r w:rsidDel="00000000" w:rsidR="00000000" w:rsidRPr="00000000">
        <w:rPr>
          <w:rFonts w:ascii="Google Sans" w:cs="Google Sans" w:eastAsia="Google Sans" w:hAnsi="Google Sans"/>
          <w:color w:val="1f1f1f"/>
        </w:rPr>
        <w:drawing>
          <wp:inline distB="19050" distT="19050" distL="19050" distR="19050">
            <wp:extent cx="1110063" cy="215669"/>
            <wp:effectExtent b="0" l="0" r="0" t="0"/>
            <wp:docPr id="73" name="image55.png"/>
            <a:graphic>
              <a:graphicData uri="http://schemas.openxmlformats.org/drawingml/2006/picture">
                <pic:pic>
                  <pic:nvPicPr>
                    <pic:cNvPr id="0" name="image55.png"/>
                    <pic:cNvPicPr preferRelativeResize="0"/>
                  </pic:nvPicPr>
                  <pic:blipFill>
                    <a:blip r:embed="rId51"/>
                    <a:srcRect b="0" l="0" r="0" t="0"/>
                    <a:stretch>
                      <a:fillRect/>
                    </a:stretch>
                  </pic:blipFill>
                  <pic:spPr>
                    <a:xfrm>
                      <a:off x="0" y="0"/>
                      <a:ext cx="1110063" cy="2156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annual revenue.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This infrastructure crunch is driving interest in "Sovereign AI," where countries and companies build localized, independent AI stacks to ensure strategic autonomy and data security.</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5: Infrastructure and Power Projections for 2030</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Projection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Global Power Demand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1001611" cy="191391"/>
                  <wp:effectExtent b="0" l="0" r="0" t="0"/>
                  <wp:docPr id="76" name="image43.png"/>
                  <a:graphic>
                    <a:graphicData uri="http://schemas.openxmlformats.org/drawingml/2006/picture">
                      <pic:pic>
                        <pic:nvPicPr>
                          <pic:cNvPr id="0" name="image43.png"/>
                          <pic:cNvPicPr preferRelativeResize="0"/>
                        </pic:nvPicPr>
                        <pic:blipFill>
                          <a:blip r:embed="rId48"/>
                          <a:srcRect b="0" l="0" r="0" t="0"/>
                          <a:stretch>
                            <a:fillRect/>
                          </a:stretch>
                        </pic:blipFill>
                        <pic:spPr>
                          <a:xfrm>
                            <a:off x="0" y="0"/>
                            <a:ext cx="1001611" cy="191391"/>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 Power Demand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1001611" cy="191391"/>
                  <wp:effectExtent b="0" l="0" r="0" t="0"/>
                  <wp:docPr id="78" name="image58.png"/>
                  <a:graphic>
                    <a:graphicData uri="http://schemas.openxmlformats.org/drawingml/2006/picture">
                      <pic:pic>
                        <pic:nvPicPr>
                          <pic:cNvPr id="0" name="image58.png"/>
                          <pic:cNvPicPr preferRelativeResize="0"/>
                        </pic:nvPicPr>
                        <pic:blipFill>
                          <a:blip r:embed="rId49"/>
                          <a:srcRect b="0" l="0" r="0" t="0"/>
                          <a:stretch>
                            <a:fillRect/>
                          </a:stretch>
                        </pic:blipFill>
                        <pic:spPr>
                          <a:xfrm>
                            <a:off x="0" y="0"/>
                            <a:ext cx="1001611" cy="191391"/>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Annual Data Center Capex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1096366" cy="191227"/>
                  <wp:effectExtent b="0" l="0" r="0" t="0"/>
                  <wp:docPr id="81" name="image53.png"/>
                  <a:graphic>
                    <a:graphicData uri="http://schemas.openxmlformats.org/drawingml/2006/picture">
                      <pic:pic>
                        <pic:nvPicPr>
                          <pic:cNvPr id="0" name="image53.png"/>
                          <pic:cNvPicPr preferRelativeResize="0"/>
                        </pic:nvPicPr>
                        <pic:blipFill>
                          <a:blip r:embed="rId50"/>
                          <a:srcRect b="0" l="0" r="0" t="0"/>
                          <a:stretch>
                            <a:fillRect/>
                          </a:stretch>
                        </pic:blipFill>
                        <pic:spPr>
                          <a:xfrm>
                            <a:off x="0" y="0"/>
                            <a:ext cx="1096366" cy="19122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Compute Scaling Factor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479921" cy="191968"/>
                  <wp:effectExtent b="0" l="0" r="0" t="0"/>
                  <wp:docPr id="83" name="image60.png"/>
                  <a:graphic>
                    <a:graphicData uri="http://schemas.openxmlformats.org/drawingml/2006/picture">
                      <pic:pic>
                        <pic:nvPicPr>
                          <pic:cNvPr id="0" name="image60.png"/>
                          <pic:cNvPicPr preferRelativeResize="0"/>
                        </pic:nvPicPr>
                        <pic:blipFill>
                          <a:blip r:embed="rId52"/>
                          <a:srcRect b="0" l="0" r="0" t="0"/>
                          <a:stretch>
                            <a:fillRect/>
                          </a:stretch>
                        </pic:blipFill>
                        <pic:spPr>
                          <a:xfrm>
                            <a:off x="0" y="0"/>
                            <a:ext cx="479921" cy="19196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current models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Training Run 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1393927" cy="190949"/>
                  <wp:effectExtent b="0" l="0" r="0" t="0"/>
                  <wp:docPr id="85" name="image65.png"/>
                  <a:graphic>
                    <a:graphicData uri="http://schemas.openxmlformats.org/drawingml/2006/picture">
                      <pic:pic>
                        <pic:nvPicPr>
                          <pic:cNvPr id="0" name="image65.png"/>
                          <pic:cNvPicPr preferRelativeResize="0"/>
                        </pic:nvPicPr>
                        <pic:blipFill>
                          <a:blip r:embed="rId53"/>
                          <a:srcRect b="0" l="0" r="0" t="0"/>
                          <a:stretch>
                            <a:fillRect/>
                          </a:stretch>
                        </pic:blipFill>
                        <pic:spPr>
                          <a:xfrm>
                            <a:off x="0" y="0"/>
                            <a:ext cx="1393927" cy="19094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Model Context Size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Rapid expansion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mitigate these costs, organizations are prioritizing power efficiency and shifting toward AI-optimized chips and modular data centers.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PwC projects that the energy impact of AI could be neutral if each percentage point of AI adoption leads to a </w:t>
      </w:r>
      <w:r w:rsidDel="00000000" w:rsidR="00000000" w:rsidRPr="00000000">
        <w:rPr>
          <w:rFonts w:ascii="Google Sans" w:cs="Google Sans" w:eastAsia="Google Sans" w:hAnsi="Google Sans"/>
          <w:color w:val="1f1f1f"/>
        </w:rPr>
        <w:drawing>
          <wp:inline distB="19050" distT="19050" distL="19050" distR="19050">
            <wp:extent cx="389334" cy="217006"/>
            <wp:effectExtent b="0" l="0" r="0" t="0"/>
            <wp:docPr id="87" name="image64.png"/>
            <a:graphic>
              <a:graphicData uri="http://schemas.openxmlformats.org/drawingml/2006/picture">
                <pic:pic>
                  <pic:nvPicPr>
                    <pic:cNvPr id="0" name="image64.png"/>
                    <pic:cNvPicPr preferRelativeResize="0"/>
                  </pic:nvPicPr>
                  <pic:blipFill>
                    <a:blip r:embed="rId54"/>
                    <a:srcRect b="0" l="0" r="0" t="0"/>
                    <a:stretch>
                      <a:fillRect/>
                    </a:stretch>
                  </pic:blipFill>
                  <pic:spPr>
                    <a:xfrm>
                      <a:off x="0" y="0"/>
                      <a:ext cx="389334" cy="2170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innovation-driven cut in energy intensity.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Implementation Frameworks: Bridging the Legacy Divide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primary barrier to scaling AI is the "ERP and legacy divide".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Traditional enterprise systems were not designed for the real-time, autonomous interactions required by agents. Gartner predicts that </w:t>
      </w:r>
      <w:r w:rsidDel="00000000" w:rsidR="00000000" w:rsidRPr="00000000">
        <w:rPr>
          <w:rFonts w:ascii="Google Sans" w:cs="Google Sans" w:eastAsia="Google Sans" w:hAnsi="Google Sans"/>
          <w:color w:val="1f1f1f"/>
        </w:rPr>
        <w:drawing>
          <wp:inline distB="19050" distT="19050" distL="19050" distR="19050">
            <wp:extent cx="338038" cy="221025"/>
            <wp:effectExtent b="0" l="0" r="0" t="0"/>
            <wp:docPr id="66" name="image49.png"/>
            <a:graphic>
              <a:graphicData uri="http://schemas.openxmlformats.org/drawingml/2006/picture">
                <pic:pic>
                  <pic:nvPicPr>
                    <pic:cNvPr id="0" name="image49.png"/>
                    <pic:cNvPicPr preferRelativeResize="0"/>
                  </pic:nvPicPr>
                  <pic:blipFill>
                    <a:blip r:embed="rId55"/>
                    <a:srcRect b="0" l="0" r="0" t="0"/>
                    <a:stretch>
                      <a:fillRect/>
                    </a:stretch>
                  </pic:blipFill>
                  <pic:spPr>
                    <a:xfrm>
                      <a:off x="0" y="0"/>
                      <a:ext cx="338038" cy="2210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agentic AI projects will fail by 2027 because legacy systems lack the necessary APIs and modular architectures.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Modernization Roadmap</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Successful organizations are adopting a three-horizon framework for implementation:</w:t>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Horizon 1 (Foundation)</w:t>
      </w:r>
      <w:r w:rsidDel="00000000" w:rsidR="00000000" w:rsidRPr="00000000">
        <w:rPr>
          <w:rFonts w:ascii="Google Sans" w:cs="Google Sans" w:eastAsia="Google Sans" w:hAnsi="Google Sans"/>
          <w:color w:val="1f1f1f"/>
          <w:rtl w:val="0"/>
        </w:rPr>
        <w:t xml:space="preserve">: Establishing a sustainable AI technology foundation, including cloud guardrails, curated data for Retrieval-Augmented Generation (RAG), and custom GPTs.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Horizon 2 (AI-Powered Processes)</w:t>
      </w:r>
      <w:r w:rsidDel="00000000" w:rsidR="00000000" w:rsidRPr="00000000">
        <w:rPr>
          <w:rFonts w:ascii="Google Sans" w:cs="Google Sans" w:eastAsia="Google Sans" w:hAnsi="Google Sans"/>
          <w:color w:val="1f1f1f"/>
          <w:rtl w:val="0"/>
        </w:rPr>
        <w:t xml:space="preserve">: Building "AI factories" and agent infrastructures to enable multi-modal capabilities and specialized domain agents.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Horizon 3 (Autonomous Enterprise)</w:t>
      </w:r>
      <w:r w:rsidDel="00000000" w:rsidR="00000000" w:rsidRPr="00000000">
        <w:rPr>
          <w:rFonts w:ascii="Google Sans" w:cs="Google Sans" w:eastAsia="Google Sans" w:hAnsi="Google Sans"/>
          <w:color w:val="1f1f1f"/>
          <w:rtl w:val="0"/>
        </w:rPr>
        <w:t xml:space="preserve">: Deploying inter-organization workflows and autonomous agents across the entire business ecosystem.</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Readiness and Knowledge Graphs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Data quality remains the real constraint for </w:t>
      </w:r>
      <w:r w:rsidDel="00000000" w:rsidR="00000000" w:rsidRPr="00000000">
        <w:rPr>
          <w:rFonts w:ascii="Google Sans" w:cs="Google Sans" w:eastAsia="Google Sans" w:hAnsi="Google Sans"/>
          <w:color w:val="1f1f1f"/>
        </w:rPr>
        <w:drawing>
          <wp:inline distB="19050" distT="19050" distL="19050" distR="19050">
            <wp:extent cx="338038" cy="221025"/>
            <wp:effectExtent b="0" l="0" r="0" t="0"/>
            <wp:docPr id="42" name="image26.png"/>
            <a:graphic>
              <a:graphicData uri="http://schemas.openxmlformats.org/drawingml/2006/picture">
                <pic:pic>
                  <pic:nvPicPr>
                    <pic:cNvPr id="0" name="image26.png"/>
                    <pic:cNvPicPr preferRelativeResize="0"/>
                  </pic:nvPicPr>
                  <pic:blipFill>
                    <a:blip r:embed="rId56"/>
                    <a:srcRect b="0" l="0" r="0" t="0"/>
                    <a:stretch>
                      <a:fillRect/>
                    </a:stretch>
                  </pic:blipFill>
                  <pic:spPr>
                    <a:xfrm>
                      <a:off x="0" y="0"/>
                      <a:ext cx="338038" cy="2210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generative AI initiatives.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Effective implementation requires moving from traditional ETL processes to real-time metadata and knowledge graphs that power "data as a product".</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This approach provides agents with a "small world" model of the problem space, allowing them to understand business context rather than just processing raw tokens.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6: Technical Implementation Challenges and Solutions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Barrier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Solution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Legacy Systems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Rigid, brittle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Smart AI middleware; API-first wrap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Silos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Poor search/reusability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Knowledge graphs; data fabric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Governance Gap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Regulatory &amp; safety risk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Multi-agent orchestration layers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Infrastructure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latency/cost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Edge agents; SLMs; Sovereign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Scaling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Pilot purgatory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Domain-level transformations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8</w:t>
            </w:r>
          </w:p>
        </w:tc>
      </w:tr>
    </w:tbl>
    <w:p w:rsidR="00000000" w:rsidDel="00000000" w:rsidP="00000000" w:rsidRDefault="00000000" w:rsidRPr="00000000" w14:paraId="000000C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Workforce Reimagination: Impact and Reskilling Metrics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impact of AI on the workforce is paradoxical. While </w:t>
      </w:r>
      <w:r w:rsidDel="00000000" w:rsidR="00000000" w:rsidRPr="00000000">
        <w:rPr>
          <w:rFonts w:ascii="Google Sans" w:cs="Google Sans" w:eastAsia="Google Sans" w:hAnsi="Google Sans"/>
          <w:color w:val="1f1f1f"/>
        </w:rPr>
        <w:drawing>
          <wp:inline distB="19050" distT="19050" distL="19050" distR="19050">
            <wp:extent cx="338038" cy="221025"/>
            <wp:effectExtent b="0" l="0" r="0" t="0"/>
            <wp:docPr id="43" name="image30.png"/>
            <a:graphic>
              <a:graphicData uri="http://schemas.openxmlformats.org/drawingml/2006/picture">
                <pic:pic>
                  <pic:nvPicPr>
                    <pic:cNvPr id="0" name="image30.png"/>
                    <pic:cNvPicPr preferRelativeResize="0"/>
                  </pic:nvPicPr>
                  <pic:blipFill>
                    <a:blip r:embed="rId57"/>
                    <a:srcRect b="0" l="0" r="0" t="0"/>
                    <a:stretch>
                      <a:fillRect/>
                    </a:stretch>
                  </pic:blipFill>
                  <pic:spPr>
                    <a:xfrm>
                      <a:off x="0" y="0"/>
                      <a:ext cx="338038" cy="2210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employees expect AI to impact their roles, a "productivity-perception gap" exists between leadership and the shop floor.</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38038" cy="221025"/>
            <wp:effectExtent b="0" l="0" r="0" t="0"/>
            <wp:docPr id="44" name="image39.png"/>
            <a:graphic>
              <a:graphicData uri="http://schemas.openxmlformats.org/drawingml/2006/picture">
                <pic:pic>
                  <pic:nvPicPr>
                    <pic:cNvPr id="0" name="image39.png"/>
                    <pic:cNvPicPr preferRelativeResize="0"/>
                  </pic:nvPicPr>
                  <pic:blipFill>
                    <a:blip r:embed="rId58"/>
                    <a:srcRect b="0" l="0" r="0" t="0"/>
                    <a:stretch>
                      <a:fillRect/>
                    </a:stretch>
                  </pic:blipFill>
                  <pic:spPr>
                    <a:xfrm>
                      <a:off x="0" y="0"/>
                      <a:ext cx="338038" cy="2210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management believe AI has improved team productivity, but only </w:t>
      </w:r>
      <w:r w:rsidDel="00000000" w:rsidR="00000000" w:rsidRPr="00000000">
        <w:rPr>
          <w:rFonts w:ascii="Google Sans" w:cs="Google Sans" w:eastAsia="Google Sans" w:hAnsi="Google Sans"/>
          <w:color w:val="1f1f1f"/>
        </w:rPr>
        <w:drawing>
          <wp:inline distB="19050" distT="19050" distL="19050" distR="19050">
            <wp:extent cx="338038" cy="221025"/>
            <wp:effectExtent b="0" l="0" r="0" t="0"/>
            <wp:docPr id="46"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338038" cy="2210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non-executive employees agree.</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Productivity Benchmarks and Skill Partnerships</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perception gaps, the quantitative data indicates substantial productivity gains. Industries exposed to AI report nearly three times higher growth in revenue per employee than less exposed sectors.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Internal PwC data shows productivity gains of up to </w:t>
      </w:r>
      <w:r w:rsidDel="00000000" w:rsidR="00000000" w:rsidRPr="00000000">
        <w:rPr>
          <w:rFonts w:ascii="Google Sans" w:cs="Google Sans" w:eastAsia="Google Sans" w:hAnsi="Google Sans"/>
          <w:color w:val="1f1f1f"/>
        </w:rPr>
        <w:drawing>
          <wp:inline distB="19050" distT="19050" distL="19050" distR="19050">
            <wp:extent cx="338038" cy="221025"/>
            <wp:effectExtent b="0" l="0" r="0" t="0"/>
            <wp:docPr id="48" name="image36.png"/>
            <a:graphic>
              <a:graphicData uri="http://schemas.openxmlformats.org/drawingml/2006/picture">
                <pic:pic>
                  <pic:nvPicPr>
                    <pic:cNvPr id="0" name="image36.png"/>
                    <pic:cNvPicPr preferRelativeResize="0"/>
                  </pic:nvPicPr>
                  <pic:blipFill>
                    <a:blip r:embed="rId59"/>
                    <a:srcRect b="0" l="0" r="0" t="0"/>
                    <a:stretch>
                      <a:fillRect/>
                    </a:stretch>
                  </pic:blipFill>
                  <pic:spPr>
                    <a:xfrm>
                      <a:off x="0" y="0"/>
                      <a:ext cx="338038" cy="2210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finance and tax through agent assistants.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these gains come at the cost of significant workforce disruption. By the end of 2026, </w:t>
      </w:r>
      <w:r w:rsidDel="00000000" w:rsidR="00000000" w:rsidRPr="00000000">
        <w:rPr>
          <w:rFonts w:ascii="Google Sans" w:cs="Google Sans" w:eastAsia="Google Sans" w:hAnsi="Google Sans"/>
          <w:color w:val="1f1f1f"/>
        </w:rPr>
        <w:drawing>
          <wp:inline distB="19050" distT="19050" distL="19050" distR="19050">
            <wp:extent cx="295771" cy="192894"/>
            <wp:effectExtent b="0" l="0" r="0" t="0"/>
            <wp:docPr id="50" name="image45.png"/>
            <a:graphic>
              <a:graphicData uri="http://schemas.openxmlformats.org/drawingml/2006/picture">
                <pic:pic>
                  <pic:nvPicPr>
                    <pic:cNvPr id="0" name="image45.png"/>
                    <pic:cNvPicPr preferRelativeResize="0"/>
                  </pic:nvPicPr>
                  <pic:blipFill>
                    <a:blip r:embed="rId60"/>
                    <a:srcRect b="0" l="0" r="0" t="0"/>
                    <a:stretch>
                      <a:fillRect/>
                    </a:stretch>
                  </pic:blipFill>
                  <pic:spPr>
                    <a:xfrm>
                      <a:off x="0" y="0"/>
                      <a:ext cx="295771" cy="1928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the global workforce will require reskilling due to AI-driven automation.</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Furthermore, </w:t>
      </w:r>
      <w:r w:rsidDel="00000000" w:rsidR="00000000" w:rsidRPr="00000000">
        <w:rPr>
          <w:rFonts w:ascii="Google Sans" w:cs="Google Sans" w:eastAsia="Google Sans" w:hAnsi="Google Sans"/>
          <w:color w:val="1f1f1f"/>
        </w:rPr>
        <w:drawing>
          <wp:inline distB="19050" distT="19050" distL="19050" distR="19050">
            <wp:extent cx="295771" cy="192894"/>
            <wp:effectExtent b="0" l="0" r="0" t="0"/>
            <wp:docPr id="52" name="image12.png"/>
            <a:graphic>
              <a:graphicData uri="http://schemas.openxmlformats.org/drawingml/2006/picture">
                <pic:pic>
                  <pic:nvPicPr>
                    <pic:cNvPr id="0" name="image12.png"/>
                    <pic:cNvPicPr preferRelativeResize="0"/>
                  </pic:nvPicPr>
                  <pic:blipFill>
                    <a:blip r:embed="rId61"/>
                    <a:srcRect b="0" l="0" r="0" t="0"/>
                    <a:stretch>
                      <a:fillRect/>
                    </a:stretch>
                  </pic:blipFill>
                  <pic:spPr>
                    <a:xfrm>
                      <a:off x="0" y="0"/>
                      <a:ext cx="295771" cy="1928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employees worry that an overreliance on AI will erode their core skills and expertise.</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7: Workforce Impact and Reskilling Metrics (2025–2026)</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Percentage /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Workforce requiring reskilling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95771" cy="192894"/>
                  <wp:effectExtent b="0" l="0" r="0" t="0"/>
                  <wp:docPr id="54" name="image45.png"/>
                  <a:graphic>
                    <a:graphicData uri="http://schemas.openxmlformats.org/drawingml/2006/picture">
                      <pic:pic>
                        <pic:nvPicPr>
                          <pic:cNvPr id="0" name="image45.png"/>
                          <pic:cNvPicPr preferRelativeResize="0"/>
                        </pic:nvPicPr>
                        <pic:blipFill>
                          <a:blip r:embed="rId60"/>
                          <a:srcRect b="0" l="0" r="0" t="0"/>
                          <a:stretch>
                            <a:fillRect/>
                          </a:stretch>
                        </pic:blipFill>
                        <pic:spPr>
                          <a:xfrm>
                            <a:off x="0" y="0"/>
                            <a:ext cx="295771" cy="192894"/>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Productivity Gain (Junior Staff)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672207" cy="190247"/>
                  <wp:effectExtent b="0" l="0" r="0" t="0"/>
                  <wp:docPr id="56" name="image38.png"/>
                  <a:graphic>
                    <a:graphicData uri="http://schemas.openxmlformats.org/drawingml/2006/picture">
                      <pic:pic>
                        <pic:nvPicPr>
                          <pic:cNvPr id="0" name="image38.png"/>
                          <pic:cNvPicPr preferRelativeResize="0"/>
                        </pic:nvPicPr>
                        <pic:blipFill>
                          <a:blip r:embed="rId62"/>
                          <a:srcRect b="0" l="0" r="0" t="0"/>
                          <a:stretch>
                            <a:fillRect/>
                          </a:stretch>
                        </pic:blipFill>
                        <pic:spPr>
                          <a:xfrm>
                            <a:off x="0" y="0"/>
                            <a:ext cx="672207" cy="19024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Productivity Gain (Senior Staff)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672207" cy="190247"/>
                  <wp:effectExtent b="0" l="0" r="0" t="0"/>
                  <wp:docPr id="40" name="image32.png"/>
                  <a:graphic>
                    <a:graphicData uri="http://schemas.openxmlformats.org/drawingml/2006/picture">
                      <pic:pic>
                        <pic:nvPicPr>
                          <pic:cNvPr id="0" name="image32.png"/>
                          <pic:cNvPicPr preferRelativeResize="0"/>
                        </pic:nvPicPr>
                        <pic:blipFill>
                          <a:blip r:embed="rId63"/>
                          <a:srcRect b="0" l="0" r="0" t="0"/>
                          <a:stretch>
                            <a:fillRect/>
                          </a:stretch>
                        </pic:blipFill>
                        <pic:spPr>
                          <a:xfrm>
                            <a:off x="0" y="0"/>
                            <a:ext cx="672207" cy="19024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Training Satisfaction (Employees)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95771" cy="192894"/>
                  <wp:effectExtent b="0" l="0" r="0" t="0"/>
                  <wp:docPr id="41" name="image31.png"/>
                  <a:graphic>
                    <a:graphicData uri="http://schemas.openxmlformats.org/drawingml/2006/picture">
                      <pic:pic>
                        <pic:nvPicPr>
                          <pic:cNvPr id="0" name="image31.png"/>
                          <pic:cNvPicPr preferRelativeResize="0"/>
                        </pic:nvPicPr>
                        <pic:blipFill>
                          <a:blip r:embed="rId64"/>
                          <a:srcRect b="0" l="0" r="0" t="0"/>
                          <a:stretch>
                            <a:fillRect/>
                          </a:stretch>
                        </pic:blipFill>
                        <pic:spPr>
                          <a:xfrm>
                            <a:off x="0" y="0"/>
                            <a:ext cx="295771" cy="192894"/>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Workers fearing job loss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95771" cy="192894"/>
                  <wp:effectExtent b="0" l="0" r="0" t="0"/>
                  <wp:docPr id="22" name="image16.png"/>
                  <a:graphic>
                    <a:graphicData uri="http://schemas.openxmlformats.org/drawingml/2006/picture">
                      <pic:pic>
                        <pic:nvPicPr>
                          <pic:cNvPr id="0" name="image16.png"/>
                          <pic:cNvPicPr preferRelativeResize="0"/>
                        </pic:nvPicPr>
                        <pic:blipFill>
                          <a:blip r:embed="rId65"/>
                          <a:srcRect b="0" l="0" r="0" t="0"/>
                          <a:stretch>
                            <a:fillRect/>
                          </a:stretch>
                        </pic:blipFill>
                        <pic:spPr>
                          <a:xfrm>
                            <a:off x="0" y="0"/>
                            <a:ext cx="295771" cy="192894"/>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Revenue-per-employee growth (AI sectors)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165993" cy="199192"/>
                  <wp:effectExtent b="0" l="0" r="0" t="0"/>
                  <wp:docPr id="23" name="image21.png"/>
                  <a:graphic>
                    <a:graphicData uri="http://schemas.openxmlformats.org/drawingml/2006/picture">
                      <pic:pic>
                        <pic:nvPicPr>
                          <pic:cNvPr id="0" name="image21.png"/>
                          <pic:cNvPicPr preferRelativeResize="0"/>
                        </pic:nvPicPr>
                        <pic:blipFill>
                          <a:blip r:embed="rId66"/>
                          <a:srcRect b="0" l="0" r="0" t="0"/>
                          <a:stretch>
                            <a:fillRect/>
                          </a:stretch>
                        </pic:blipFill>
                        <pic:spPr>
                          <a:xfrm>
                            <a:off x="0" y="0"/>
                            <a:ext cx="165993" cy="19919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increase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Daily GenAI usage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95771" cy="192894"/>
                  <wp:effectExtent b="0" l="0" r="0" t="0"/>
                  <wp:docPr id="25" name="image18.png"/>
                  <a:graphic>
                    <a:graphicData uri="http://schemas.openxmlformats.org/drawingml/2006/picture">
                      <pic:pic>
                        <pic:nvPicPr>
                          <pic:cNvPr id="0" name="image18.png"/>
                          <pic:cNvPicPr preferRelativeResize="0"/>
                        </pic:nvPicPr>
                        <pic:blipFill>
                          <a:blip r:embed="rId67"/>
                          <a:srcRect b="0" l="0" r="0" t="0"/>
                          <a:stretch>
                            <a:fillRect/>
                          </a:stretch>
                        </pic:blipFill>
                        <pic:spPr>
                          <a:xfrm>
                            <a:off x="0" y="0"/>
                            <a:ext cx="295771" cy="192894"/>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innovative companies are integration user feedback and empathy-driven insights faster than ever, using AI to enhance—not replace—human agency.</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They are moving toward "fluid" roles where boundaries between engineering, product, and design break down as AI handles routine execution.</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E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Sector-Specific Transformations: Manufacturing, Finance, and Beyond</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adoption is moving at different speeds across industries, with high-data-intensity and operational-complexity sectors leading the charge.</w:t>
      </w:r>
    </w:p>
    <w:p w:rsidR="00000000" w:rsidDel="00000000" w:rsidP="00000000" w:rsidRDefault="00000000" w:rsidRPr="00000000" w14:paraId="000000E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Manufacturing: The Surge of Physical AI</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Physical AI—collaborative robots, inspection drones, and autonomous logistics—is gaining traction, reaching </w:t>
      </w:r>
      <w:r w:rsidDel="00000000" w:rsidR="00000000" w:rsidRPr="00000000">
        <w:rPr>
          <w:rFonts w:ascii="Google Sans" w:cs="Google Sans" w:eastAsia="Google Sans" w:hAnsi="Google Sans"/>
          <w:color w:val="1f1f1f"/>
        </w:rPr>
        <w:drawing>
          <wp:inline distB="19050" distT="19050" distL="19050" distR="19050">
            <wp:extent cx="338038" cy="221025"/>
            <wp:effectExtent b="0" l="0" r="0" t="0"/>
            <wp:docPr id="27" name="image20.png"/>
            <a:graphic>
              <a:graphicData uri="http://schemas.openxmlformats.org/drawingml/2006/picture">
                <pic:pic>
                  <pic:nvPicPr>
                    <pic:cNvPr id="0" name="image20.png"/>
                    <pic:cNvPicPr preferRelativeResize="0"/>
                  </pic:nvPicPr>
                  <pic:blipFill>
                    <a:blip r:embed="rId68"/>
                    <a:srcRect b="0" l="0" r="0" t="0"/>
                    <a:stretch>
                      <a:fillRect/>
                    </a:stretch>
                  </pic:blipFill>
                  <pic:spPr>
                    <a:xfrm>
                      <a:off x="0" y="0"/>
                      <a:ext cx="338038" cy="2210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companies today and projected to reach </w:t>
      </w:r>
      <w:r w:rsidDel="00000000" w:rsidR="00000000" w:rsidRPr="00000000">
        <w:rPr>
          <w:rFonts w:ascii="Google Sans" w:cs="Google Sans" w:eastAsia="Google Sans" w:hAnsi="Google Sans"/>
          <w:color w:val="1f1f1f"/>
        </w:rPr>
        <w:drawing>
          <wp:inline distB="19050" distT="19050" distL="19050" distR="19050">
            <wp:extent cx="295771" cy="192894"/>
            <wp:effectExtent b="0" l="0" r="0" t="0"/>
            <wp:docPr id="29" name="image19.png"/>
            <a:graphic>
              <a:graphicData uri="http://schemas.openxmlformats.org/drawingml/2006/picture">
                <pic:pic>
                  <pic:nvPicPr>
                    <pic:cNvPr id="0" name="image19.png"/>
                    <pic:cNvPicPr preferRelativeResize="0"/>
                  </pic:nvPicPr>
                  <pic:blipFill>
                    <a:blip r:embed="rId69"/>
                    <a:srcRect b="0" l="0" r="0" t="0"/>
                    <a:stretch>
                      <a:fillRect/>
                    </a:stretch>
                  </pic:blipFill>
                  <pic:spPr>
                    <a:xfrm>
                      <a:off x="0" y="0"/>
                      <a:ext cx="295771" cy="1928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within two years.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In the automotive sector, agents are being used for autonomous supply chain operations and warranty adjudication.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These systems detect quality issues in real-time, reducing waste and unplanned downtime, which costs the industry </w:t>
      </w:r>
      <w:r w:rsidDel="00000000" w:rsidR="00000000" w:rsidRPr="00000000">
        <w:rPr>
          <w:rFonts w:ascii="Google Sans" w:cs="Google Sans" w:eastAsia="Google Sans" w:hAnsi="Google Sans"/>
          <w:color w:val="1f1f1f"/>
        </w:rPr>
        <w:drawing>
          <wp:inline distB="19050" distT="19050" distL="19050" distR="19050">
            <wp:extent cx="1253528" cy="215252"/>
            <wp:effectExtent b="0" l="0" r="0" t="0"/>
            <wp:docPr id="31" name="image17.png"/>
            <a:graphic>
              <a:graphicData uri="http://schemas.openxmlformats.org/drawingml/2006/picture">
                <pic:pic>
                  <pic:nvPicPr>
                    <pic:cNvPr id="0" name="image17.png"/>
                    <pic:cNvPicPr preferRelativeResize="0"/>
                  </pic:nvPicPr>
                  <pic:blipFill>
                    <a:blip r:embed="rId70"/>
                    <a:srcRect b="0" l="0" r="0" t="0"/>
                    <a:stretch>
                      <a:fillRect/>
                    </a:stretch>
                  </pic:blipFill>
                  <pic:spPr>
                    <a:xfrm>
                      <a:off x="0" y="0"/>
                      <a:ext cx="1253528" cy="2152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annually.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E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Services: The Platformication Era</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financial services sector reports </w:t>
      </w:r>
      <w:r w:rsidDel="00000000" w:rsidR="00000000" w:rsidRPr="00000000">
        <w:rPr>
          <w:rFonts w:ascii="Google Sans" w:cs="Google Sans" w:eastAsia="Google Sans" w:hAnsi="Google Sans"/>
          <w:color w:val="1f1f1f"/>
        </w:rPr>
        <w:drawing>
          <wp:inline distB="19050" distT="19050" distL="19050" distR="19050">
            <wp:extent cx="295771" cy="192894"/>
            <wp:effectExtent b="0" l="0" r="0" t="0"/>
            <wp:docPr id="33" name="image9.png"/>
            <a:graphic>
              <a:graphicData uri="http://schemas.openxmlformats.org/drawingml/2006/picture">
                <pic:pic>
                  <pic:nvPicPr>
                    <pic:cNvPr id="0" name="image9.png"/>
                    <pic:cNvPicPr preferRelativeResize="0"/>
                  </pic:nvPicPr>
                  <pic:blipFill>
                    <a:blip r:embed="rId71"/>
                    <a:srcRect b="0" l="0" r="0" t="0"/>
                    <a:stretch>
                      <a:fillRect/>
                    </a:stretch>
                  </pic:blipFill>
                  <pic:spPr>
                    <a:xfrm>
                      <a:off x="0" y="0"/>
                      <a:ext cx="295771" cy="1928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adoption, the highest of any industry.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AI is used for mass personalization, mass-personalized investment strategies, and fraud detection.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By 2030, banks are expected to operate as platforms where customers plug in and out on demand, with AI powering frictionless transactions and mass personalization.</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E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8: High-Impact AI Use Cases by Sector</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Industry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Use Cases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Expected Impact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Manufacturing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Predictive maintenance; Cobots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95771" cy="192894"/>
                  <wp:effectExtent b="0" l="0" r="0" t="0"/>
                  <wp:docPr id="35" name="image19.png"/>
                  <a:graphic>
                    <a:graphicData uri="http://schemas.openxmlformats.org/drawingml/2006/picture">
                      <pic:pic>
                        <pic:nvPicPr>
                          <pic:cNvPr id="0" name="image19.png"/>
                          <pic:cNvPicPr preferRelativeResize="0"/>
                        </pic:nvPicPr>
                        <pic:blipFill>
                          <a:blip r:embed="rId69"/>
                          <a:srcRect b="0" l="0" r="0" t="0"/>
                          <a:stretch>
                            <a:fillRect/>
                          </a:stretch>
                        </pic:blipFill>
                        <pic:spPr>
                          <a:xfrm>
                            <a:off x="0" y="0"/>
                            <a:ext cx="295771" cy="19289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usage by 2027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Financial Services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Personalization; Fraud detection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95771" cy="192894"/>
                  <wp:effectExtent b="0" l="0" r="0" t="0"/>
                  <wp:docPr id="19" name="image9.png"/>
                  <a:graphic>
                    <a:graphicData uri="http://schemas.openxmlformats.org/drawingml/2006/picture">
                      <pic:pic>
                        <pic:nvPicPr>
                          <pic:cNvPr id="0" name="image9.png"/>
                          <pic:cNvPicPr preferRelativeResize="0"/>
                        </pic:nvPicPr>
                        <pic:blipFill>
                          <a:blip r:embed="rId71"/>
                          <a:srcRect b="0" l="0" r="0" t="0"/>
                          <a:stretch>
                            <a:fillRect/>
                          </a:stretch>
                        </pic:blipFill>
                        <pic:spPr>
                          <a:xfrm>
                            <a:off x="0" y="0"/>
                            <a:ext cx="295771" cy="19289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adoption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Energy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Grid stability; Predictive maintenance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Operation efficiency; ESG goals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Retail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Dynamic pricing; Store optimization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Real-time response; conversion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Public Sector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Service delivery; Workforce support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Citizen-centric journeys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Lead gen; Workflow orchestration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338038" cy="221025"/>
                  <wp:effectExtent b="0" l="0" r="0" t="0"/>
                  <wp:docPr id="2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38038" cy="22102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increase in selling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sales domain, agents could free up significant time, as sellers currently spend only </w:t>
      </w:r>
      <w:r w:rsidDel="00000000" w:rsidR="00000000" w:rsidRPr="00000000">
        <w:rPr>
          <w:rFonts w:ascii="Google Sans" w:cs="Google Sans" w:eastAsia="Google Sans" w:hAnsi="Google Sans"/>
          <w:color w:val="1f1f1f"/>
        </w:rPr>
        <w:drawing>
          <wp:inline distB="19050" distT="19050" distL="19050" distR="19050">
            <wp:extent cx="338038" cy="221025"/>
            <wp:effectExtent b="0" l="0" r="0" t="0"/>
            <wp:docPr id="2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38038" cy="2210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their day actually selling.</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By automating administrative tasks and prospecting, AI could boost conversion rates and revenue-per-seller significantly.</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1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Governance, Risk, and the Trust Framework</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AI moves into core business functions, risk management has become a critical strategic domain. </w:t>
      </w:r>
      <w:r w:rsidDel="00000000" w:rsidR="00000000" w:rsidRPr="00000000">
        <w:rPr>
          <w:rFonts w:ascii="Google Sans" w:cs="Google Sans" w:eastAsia="Google Sans" w:hAnsi="Google Sans"/>
          <w:color w:val="1f1f1f"/>
        </w:rPr>
        <w:drawing>
          <wp:inline distB="19050" distT="19050" distL="19050" distR="19050">
            <wp:extent cx="295771" cy="192894"/>
            <wp:effectExtent b="0" l="0" r="0" t="0"/>
            <wp:docPr id="2" name="image10.png"/>
            <a:graphic>
              <a:graphicData uri="http://schemas.openxmlformats.org/drawingml/2006/picture">
                <pic:pic>
                  <pic:nvPicPr>
                    <pic:cNvPr id="0" name="image10.png"/>
                    <pic:cNvPicPr preferRelativeResize="0"/>
                  </pic:nvPicPr>
                  <pic:blipFill>
                    <a:blip r:embed="rId72"/>
                    <a:srcRect b="0" l="0" r="0" t="0"/>
                    <a:stretch>
                      <a:fillRect/>
                    </a:stretch>
                  </pic:blipFill>
                  <pic:spPr>
                    <a:xfrm>
                      <a:off x="0" y="0"/>
                      <a:ext cx="295771" cy="1928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companies report unmanaged AI security risks, including hallucinations, bias, and data misuse.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1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Responsible AI and Regulatory Oversight</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Responsible deployment is no longer an optional ethical consideration but a prerequisite for ROI. Companies embedding responsible AI from the start report stronger buy-in and faster momentum.</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framework includes:</w:t>
      </w:r>
    </w:p>
    <w:p w:rsidR="00000000" w:rsidDel="00000000" w:rsidP="00000000" w:rsidRDefault="00000000" w:rsidRPr="00000000" w14:paraId="0000010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Ethical Frameworks</w:t>
      </w:r>
      <w:r w:rsidDel="00000000" w:rsidR="00000000" w:rsidRPr="00000000">
        <w:rPr>
          <w:rFonts w:ascii="Google Sans" w:cs="Google Sans" w:eastAsia="Google Sans" w:hAnsi="Google Sans"/>
          <w:color w:val="1f1f1f"/>
          <w:rtl w:val="0"/>
        </w:rPr>
        <w:t xml:space="preserve">: Defining rules for autonomous decisions and fallback routes for errors.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1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Independent Assurance</w:t>
      </w:r>
      <w:r w:rsidDel="00000000" w:rsidR="00000000" w:rsidRPr="00000000">
        <w:rPr>
          <w:rFonts w:ascii="Google Sans" w:cs="Google Sans" w:eastAsia="Google Sans" w:hAnsi="Google Sans"/>
          <w:color w:val="1f1f1f"/>
          <w:rtl w:val="0"/>
        </w:rPr>
        <w:t xml:space="preserve">: Utilizing third-party validation to build trust with investors and regulators.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10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Sovereign Compliance</w:t>
      </w:r>
      <w:r w:rsidDel="00000000" w:rsidR="00000000" w:rsidRPr="00000000">
        <w:rPr>
          <w:rFonts w:ascii="Google Sans" w:cs="Google Sans" w:eastAsia="Google Sans" w:hAnsi="Google Sans"/>
          <w:color w:val="1f1f1f"/>
          <w:rtl w:val="0"/>
        </w:rPr>
        <w:t xml:space="preserve">: Factoring country of origin into vendor selection, with </w:t>
      </w:r>
      <w:r w:rsidDel="00000000" w:rsidR="00000000" w:rsidRPr="00000000">
        <w:rPr>
          <w:rFonts w:ascii="Google Sans" w:cs="Google Sans" w:eastAsia="Google Sans" w:hAnsi="Google Sans"/>
          <w:color w:val="1f1f1f"/>
        </w:rPr>
        <w:drawing>
          <wp:inline distB="19050" distT="19050" distL="19050" distR="19050">
            <wp:extent cx="338038" cy="221025"/>
            <wp:effectExtent b="0" l="0" r="0" t="0"/>
            <wp:docPr id="4" name="image3.png"/>
            <a:graphic>
              <a:graphicData uri="http://schemas.openxmlformats.org/drawingml/2006/picture">
                <pic:pic>
                  <pic:nvPicPr>
                    <pic:cNvPr id="0" name="image3.png"/>
                    <pic:cNvPicPr preferRelativeResize="0"/>
                  </pic:nvPicPr>
                  <pic:blipFill>
                    <a:blip r:embed="rId73"/>
                    <a:srcRect b="0" l="0" r="0" t="0"/>
                    <a:stretch>
                      <a:fillRect/>
                    </a:stretch>
                  </pic:blipFill>
                  <pic:spPr>
                    <a:xfrm>
                      <a:off x="0" y="0"/>
                      <a:ext cx="338038" cy="2210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firms now considering this a strategic priority.</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11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9: AI Governance and Risk Management Metrics</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Concern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Percentage of Respondents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Organizations with mature Agent Governance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95771" cy="192894"/>
                  <wp:effectExtent b="0" l="0" r="0" t="0"/>
                  <wp:docPr id="6"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295771" cy="192894"/>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Firms worried about Skill Erosion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95771" cy="192894"/>
                  <wp:effectExtent b="0" l="0" r="0" t="0"/>
                  <wp:docPr id="8" name="image12.png"/>
                  <a:graphic>
                    <a:graphicData uri="http://schemas.openxmlformats.org/drawingml/2006/picture">
                      <pic:pic>
                        <pic:nvPicPr>
                          <pic:cNvPr id="0" name="image12.png"/>
                          <pic:cNvPicPr preferRelativeResize="0"/>
                        </pic:nvPicPr>
                        <pic:blipFill>
                          <a:blip r:embed="rId61"/>
                          <a:srcRect b="0" l="0" r="0" t="0"/>
                          <a:stretch>
                            <a:fillRect/>
                          </a:stretch>
                        </pic:blipFill>
                        <pic:spPr>
                          <a:xfrm>
                            <a:off x="0" y="0"/>
                            <a:ext cx="295771" cy="192894"/>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Organizations reporting Unmanaged Risks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95771" cy="192894"/>
                  <wp:effectExtent b="0" l="0" r="0" t="0"/>
                  <wp:docPr id="10" name="image10.png"/>
                  <a:graphic>
                    <a:graphicData uri="http://schemas.openxmlformats.org/drawingml/2006/picture">
                      <pic:pic>
                        <pic:nvPicPr>
                          <pic:cNvPr id="0" name="image10.png"/>
                          <pic:cNvPicPr preferRelativeResize="0"/>
                        </pic:nvPicPr>
                        <pic:blipFill>
                          <a:blip r:embed="rId72"/>
                          <a:srcRect b="0" l="0" r="0" t="0"/>
                          <a:stretch>
                            <a:fillRect/>
                          </a:stretch>
                        </pic:blipFill>
                        <pic:spPr>
                          <a:xfrm>
                            <a:off x="0" y="0"/>
                            <a:ext cx="295771" cy="192894"/>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Confidence in keeping pace with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95771" cy="192894"/>
                  <wp:effectExtent b="0" l="0" r="0" t="0"/>
                  <wp:docPr id="12" name="image13.png"/>
                  <a:graphic>
                    <a:graphicData uri="http://schemas.openxmlformats.org/drawingml/2006/picture">
                      <pic:pic>
                        <pic:nvPicPr>
                          <pic:cNvPr id="0" name="image13.png"/>
                          <pic:cNvPicPr preferRelativeResize="0"/>
                        </pic:nvPicPr>
                        <pic:blipFill>
                          <a:blip r:embed="rId45"/>
                          <a:srcRect b="0" l="0" r="0" t="0"/>
                          <a:stretch>
                            <a:fillRect/>
                          </a:stretch>
                        </pic:blipFill>
                        <pic:spPr>
                          <a:xfrm>
                            <a:off x="0" y="0"/>
                            <a:ext cx="295771" cy="192894"/>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Investors demanding AI discipline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95771" cy="192894"/>
                  <wp:effectExtent b="0" l="0" r="0" t="0"/>
                  <wp:docPr id="14" name="image1.png"/>
                  <a:graphic>
                    <a:graphicData uri="http://schemas.openxmlformats.org/drawingml/2006/picture">
                      <pic:pic>
                        <pic:nvPicPr>
                          <pic:cNvPr id="0" name="image1.png"/>
                          <pic:cNvPicPr preferRelativeResize="0"/>
                        </pic:nvPicPr>
                        <pic:blipFill>
                          <a:blip r:embed="rId74"/>
                          <a:srcRect b="0" l="0" r="0" t="0"/>
                          <a:stretch>
                            <a:fillRect/>
                          </a:stretch>
                        </pic:blipFill>
                        <pic:spPr>
                          <a:xfrm>
                            <a:off x="0" y="0"/>
                            <a:ext cx="295771" cy="192894"/>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People willing to trust AI globally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95771" cy="192894"/>
                  <wp:effectExtent b="0" l="0" r="0" t="0"/>
                  <wp:docPr id="1" name="image18.png"/>
                  <a:graphic>
                    <a:graphicData uri="http://schemas.openxmlformats.org/drawingml/2006/picture">
                      <pic:pic>
                        <pic:nvPicPr>
                          <pic:cNvPr id="0" name="image18.png"/>
                          <pic:cNvPicPr preferRelativeResize="0"/>
                        </pic:nvPicPr>
                        <pic:blipFill>
                          <a:blip r:embed="rId67"/>
                          <a:srcRect b="0" l="0" r="0" t="0"/>
                          <a:stretch>
                            <a:fillRect/>
                          </a:stretch>
                        </pic:blipFill>
                        <pic:spPr>
                          <a:xfrm>
                            <a:off x="0" y="0"/>
                            <a:ext cx="295771" cy="192894"/>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44</w:t>
            </w:r>
          </w:p>
        </w:tc>
      </w:tr>
    </w:tbl>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Trust remains the biggest hurdle to ROI, with a quarter of executives citing it as their primary barrier.</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To overcome this, organizations are adopting transparent governance frameworks and embedding explainability into their models.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1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The Autonomous Enterprise of 2030</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trajectory toward 2030 points to a world where AI is not just enhancing the business model but </w:t>
      </w:r>
      <w:r w:rsidDel="00000000" w:rsidR="00000000" w:rsidRPr="00000000">
        <w:rPr>
          <w:rFonts w:ascii="Google Sans" w:cs="Google Sans" w:eastAsia="Google Sans" w:hAnsi="Google Sans"/>
          <w:i w:val="1"/>
          <w:iCs w:val="1"/>
          <w:color w:val="1f1f1f"/>
          <w:rtl w:val="0"/>
        </w:rPr>
        <w:t xml:space="preserve">is</w:t>
      </w:r>
      <w:r w:rsidDel="00000000" w:rsidR="00000000" w:rsidRPr="00000000">
        <w:rPr>
          <w:rFonts w:ascii="Google Sans" w:cs="Google Sans" w:eastAsia="Google Sans" w:hAnsi="Google Sans"/>
          <w:color w:val="1f1f1f"/>
          <w:rtl w:val="0"/>
        </w:rPr>
        <w:t xml:space="preserve"> the business model.</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Competitive advantage will be derived from "Human-Agent synthesis," where human creativity and ethical judgment are paired with the speed and pattern recognition of multi-agent systems.</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organizations to thrive, they must transition from experimental silos to domain-level transformations, redesigning entire workflows rather than isolated tasks.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leaders of 2030 will be those who bridge the legacy divide, build robust data foundations, and prioritize the human side of AI, ensuring that technology serves as a catalyst for innovation and sustainable growth.</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Intelligence Age offers a once-in-a-generation opportunity for those with the vision to act decisively. By embracing agentic autonomy, investing in sovereign infrastructure, and fostering a culture of continuous learning, the modern enterprise can unlock levels of productivity and innovation that were previously unimaginable.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2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2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adoption could boost global GDP by an additional 15 percentage points by 2035 | PwC, accessed on March 4, 2026, </w:t>
      </w:r>
      <w:hyperlink r:id="rId75">
        <w:r w:rsidDel="00000000" w:rsidR="00000000" w:rsidRPr="00000000">
          <w:rPr>
            <w:rFonts w:ascii="Google Sans" w:cs="Google Sans" w:eastAsia="Google Sans" w:hAnsi="Google Sans"/>
            <w:color w:val="0000ee"/>
            <w:sz w:val="24"/>
            <w:szCs w:val="24"/>
            <w:u w:val="single"/>
            <w:rtl w:val="0"/>
          </w:rPr>
          <w:t xml:space="preserve">https://www.pwc.com/gx/en/news-room/press-releases/2025/ai-adoption-could-boost-global-gdp-by-an-additional-15-percentage.html</w:t>
        </w:r>
      </w:hyperlink>
      <w:r w:rsidDel="00000000" w:rsidR="00000000" w:rsidRPr="00000000">
        <w:rPr>
          <w:rtl w:val="0"/>
        </w:rPr>
      </w:r>
    </w:p>
    <w:p w:rsidR="00000000" w:rsidDel="00000000" w:rsidP="00000000" w:rsidRDefault="00000000" w:rsidRPr="00000000" w14:paraId="0000012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Midyear update 2025 AI predictions: PwC, accessed on March 4, 2026, </w:t>
      </w:r>
      <w:hyperlink r:id="rId76">
        <w:r w:rsidDel="00000000" w:rsidR="00000000" w:rsidRPr="00000000">
          <w:rPr>
            <w:rFonts w:ascii="Google Sans" w:cs="Google Sans" w:eastAsia="Google Sans" w:hAnsi="Google Sans"/>
            <w:color w:val="0000ee"/>
            <w:sz w:val="24"/>
            <w:szCs w:val="24"/>
            <w:u w:val="single"/>
            <w:rtl w:val="0"/>
          </w:rPr>
          <w:t xml:space="preserve">https://www.pwc.com/us/en/tech-effect/ai-analytics/ai-predictions-update.html</w:t>
        </w:r>
      </w:hyperlink>
      <w:r w:rsidDel="00000000" w:rsidR="00000000" w:rsidRPr="00000000">
        <w:rPr>
          <w:rtl w:val="0"/>
        </w:rPr>
      </w:r>
    </w:p>
    <w:p w:rsidR="00000000" w:rsidDel="00000000" w:rsidP="00000000" w:rsidRDefault="00000000" w:rsidRPr="00000000" w14:paraId="0000012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in the workplace: A report for 2025 | McKinsey, accessed on March 4, 2026, </w:t>
      </w:r>
      <w:hyperlink r:id="rId77">
        <w:r w:rsidDel="00000000" w:rsidR="00000000" w:rsidRPr="00000000">
          <w:rPr>
            <w:rFonts w:ascii="Google Sans" w:cs="Google Sans" w:eastAsia="Google Sans" w:hAnsi="Google Sans"/>
            <w:color w:val="0000ee"/>
            <w:sz w:val="24"/>
            <w:szCs w:val="24"/>
            <w:u w:val="single"/>
            <w:rtl w:val="0"/>
          </w:rPr>
          <w:t xml:space="preserve">https://www.mckinsey.com/capabilities/tech-and-ai/our-insights/superagency-in-the-workplace-empowering-people-to-unlock-ais-full-potential-at-work</w:t>
        </w:r>
      </w:hyperlink>
      <w:r w:rsidDel="00000000" w:rsidR="00000000" w:rsidRPr="00000000">
        <w:rPr>
          <w:rtl w:val="0"/>
        </w:rPr>
      </w:r>
    </w:p>
    <w:p w:rsidR="00000000" w:rsidDel="00000000" w:rsidP="00000000" w:rsidRDefault="00000000" w:rsidRPr="00000000" w14:paraId="0000013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Usage Statistics 2025: The Complete Market &amp; Adoption Report - Elfsight, accessed on March 4, 2026, </w:t>
      </w:r>
      <w:hyperlink r:id="rId78">
        <w:r w:rsidDel="00000000" w:rsidR="00000000" w:rsidRPr="00000000">
          <w:rPr>
            <w:rFonts w:ascii="Google Sans" w:cs="Google Sans" w:eastAsia="Google Sans" w:hAnsi="Google Sans"/>
            <w:color w:val="0000ee"/>
            <w:sz w:val="24"/>
            <w:szCs w:val="24"/>
            <w:u w:val="single"/>
            <w:rtl w:val="0"/>
          </w:rPr>
          <w:t xml:space="preserve">https://elfsight.com/blog/ai-usage-statistics-2025/</w:t>
        </w:r>
      </w:hyperlink>
      <w:r w:rsidDel="00000000" w:rsidR="00000000" w:rsidRPr="00000000">
        <w:rPr>
          <w:rtl w:val="0"/>
        </w:rPr>
      </w:r>
    </w:p>
    <w:p w:rsidR="00000000" w:rsidDel="00000000" w:rsidP="00000000" w:rsidRDefault="00000000" w:rsidRPr="00000000" w14:paraId="0000013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trends in AI adoption for enterprises in 2025 - Glean, accessed on March 4, 2026, </w:t>
      </w:r>
      <w:hyperlink r:id="rId79">
        <w:r w:rsidDel="00000000" w:rsidR="00000000" w:rsidRPr="00000000">
          <w:rPr>
            <w:rFonts w:ascii="Google Sans" w:cs="Google Sans" w:eastAsia="Google Sans" w:hAnsi="Google Sans"/>
            <w:color w:val="0000ee"/>
            <w:sz w:val="24"/>
            <w:szCs w:val="24"/>
            <w:u w:val="single"/>
            <w:rtl w:val="0"/>
          </w:rPr>
          <w:t xml:space="preserve">https://www.glean.com/perspectives/enterprise-insights-from-ai</w:t>
        </w:r>
      </w:hyperlink>
      <w:r w:rsidDel="00000000" w:rsidR="00000000" w:rsidRPr="00000000">
        <w:rPr>
          <w:rtl w:val="0"/>
        </w:rPr>
      </w:r>
    </w:p>
    <w:p w:rsidR="00000000" w:rsidDel="00000000" w:rsidP="00000000" w:rsidRDefault="00000000" w:rsidRPr="00000000" w14:paraId="0000013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AI Adoption Report: Gen AI Fast-Tracks Into the Enterprise - Knowledge at Wharton, accessed on March 4, 2026, </w:t>
      </w:r>
      <w:hyperlink r:id="rId80">
        <w:r w:rsidDel="00000000" w:rsidR="00000000" w:rsidRPr="00000000">
          <w:rPr>
            <w:rFonts w:ascii="Google Sans" w:cs="Google Sans" w:eastAsia="Google Sans" w:hAnsi="Google Sans"/>
            <w:color w:val="0000ee"/>
            <w:sz w:val="24"/>
            <w:szCs w:val="24"/>
            <w:u w:val="single"/>
            <w:rtl w:val="0"/>
          </w:rPr>
          <w:t xml:space="preserve">https://knowledge.wharton.upenn.edu/special-report/2025-ai-adoption-report/</w:t>
        </w:r>
      </w:hyperlink>
      <w:r w:rsidDel="00000000" w:rsidR="00000000" w:rsidRPr="00000000">
        <w:rPr>
          <w:rtl w:val="0"/>
        </w:rPr>
      </w:r>
    </w:p>
    <w:p w:rsidR="00000000" w:rsidDel="00000000" w:rsidP="00000000" w:rsidRDefault="00000000" w:rsidRPr="00000000" w14:paraId="0000013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PwC Global Annual Review 2025, accessed on March 4, 2026, </w:t>
      </w:r>
      <w:hyperlink r:id="rId81">
        <w:r w:rsidDel="00000000" w:rsidR="00000000" w:rsidRPr="00000000">
          <w:rPr>
            <w:rFonts w:ascii="Google Sans" w:cs="Google Sans" w:eastAsia="Google Sans" w:hAnsi="Google Sans"/>
            <w:color w:val="0000ee"/>
            <w:sz w:val="24"/>
            <w:szCs w:val="24"/>
            <w:u w:val="single"/>
            <w:rtl w:val="0"/>
          </w:rPr>
          <w:t xml:space="preserve">https://www.pwc.com/gx/en/global-annual-review/2025/pwc-global-annual-review-2025.pdf</w:t>
        </w:r>
      </w:hyperlink>
      <w:r w:rsidDel="00000000" w:rsidR="00000000" w:rsidRPr="00000000">
        <w:rPr>
          <w:rtl w:val="0"/>
        </w:rPr>
      </w:r>
    </w:p>
    <w:p w:rsidR="00000000" w:rsidDel="00000000" w:rsidP="00000000" w:rsidRDefault="00000000" w:rsidRPr="00000000" w14:paraId="0000013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Bridging the great AI agent and ERP divide to unlock value at scale - McKinsey, accessed on March 4, 2026, </w:t>
      </w:r>
      <w:hyperlink r:id="rId82">
        <w:r w:rsidDel="00000000" w:rsidR="00000000" w:rsidRPr="00000000">
          <w:rPr>
            <w:rFonts w:ascii="Google Sans" w:cs="Google Sans" w:eastAsia="Google Sans" w:hAnsi="Google Sans"/>
            <w:color w:val="0000ee"/>
            <w:sz w:val="24"/>
            <w:szCs w:val="24"/>
            <w:u w:val="single"/>
            <w:rtl w:val="0"/>
          </w:rPr>
          <w:t xml:space="preserve">https://www.mckinsey.com/capabilities/mckinsey-technology/our-insights/bridging-the-great-ai-agent-and-erp-divide-to-unlock-value-at-scale</w:t>
        </w:r>
      </w:hyperlink>
      <w:r w:rsidDel="00000000" w:rsidR="00000000" w:rsidRPr="00000000">
        <w:rPr>
          <w:rtl w:val="0"/>
        </w:rPr>
      </w:r>
    </w:p>
    <w:p w:rsidR="00000000" w:rsidDel="00000000" w:rsidP="00000000" w:rsidRDefault="00000000" w:rsidRPr="00000000" w14:paraId="0000013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 of AI 2026 - AI Market Size, Investment, and Industry Data - Vention, accessed on March 4, 2026, </w:t>
      </w:r>
      <w:hyperlink r:id="rId83">
        <w:r w:rsidDel="00000000" w:rsidR="00000000" w:rsidRPr="00000000">
          <w:rPr>
            <w:rFonts w:ascii="Google Sans" w:cs="Google Sans" w:eastAsia="Google Sans" w:hAnsi="Google Sans"/>
            <w:color w:val="0000ee"/>
            <w:sz w:val="24"/>
            <w:szCs w:val="24"/>
            <w:u w:val="single"/>
            <w:rtl w:val="0"/>
          </w:rPr>
          <w:t xml:space="preserve">https://ventionteams.com/solutions/ai/report</w:t>
        </w:r>
      </w:hyperlink>
      <w:r w:rsidDel="00000000" w:rsidR="00000000" w:rsidRPr="00000000">
        <w:rPr>
          <w:rtl w:val="0"/>
        </w:rPr>
      </w:r>
    </w:p>
    <w:p w:rsidR="00000000" w:rsidDel="00000000" w:rsidP="00000000" w:rsidRDefault="00000000" w:rsidRPr="00000000" w14:paraId="0000013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Technology Report 2025 - Bain &amp; Company, accessed on March 4, 2026, </w:t>
      </w:r>
      <w:hyperlink r:id="rId84">
        <w:r w:rsidDel="00000000" w:rsidR="00000000" w:rsidRPr="00000000">
          <w:rPr>
            <w:rFonts w:ascii="Google Sans" w:cs="Google Sans" w:eastAsia="Google Sans" w:hAnsi="Google Sans"/>
            <w:color w:val="0000ee"/>
            <w:sz w:val="24"/>
            <w:szCs w:val="24"/>
            <w:u w:val="single"/>
            <w:rtl w:val="0"/>
          </w:rPr>
          <w:t xml:space="preserve">https://www.bain.com/insights/topics/technology-report/</w:t>
        </w:r>
      </w:hyperlink>
      <w:r w:rsidDel="00000000" w:rsidR="00000000" w:rsidRPr="00000000">
        <w:rPr>
          <w:rtl w:val="0"/>
        </w:rPr>
      </w:r>
    </w:p>
    <w:p w:rsidR="00000000" w:rsidDel="00000000" w:rsidP="00000000" w:rsidRDefault="00000000" w:rsidRPr="00000000" w14:paraId="0000013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 You Generating Value from AI? The Widening Gap | BCG, accessed on March 4, 2026, </w:t>
      </w:r>
      <w:hyperlink r:id="rId85">
        <w:r w:rsidDel="00000000" w:rsidR="00000000" w:rsidRPr="00000000">
          <w:rPr>
            <w:rFonts w:ascii="Google Sans" w:cs="Google Sans" w:eastAsia="Google Sans" w:hAnsi="Google Sans"/>
            <w:color w:val="0000ee"/>
            <w:sz w:val="24"/>
            <w:szCs w:val="24"/>
            <w:u w:val="single"/>
            <w:rtl w:val="0"/>
          </w:rPr>
          <w:t xml:space="preserve">https://www.bcg.com/publications/2025/are-you-generating-value-from-ai-the-widening-gap</w:t>
        </w:r>
      </w:hyperlink>
      <w:r w:rsidDel="00000000" w:rsidR="00000000" w:rsidRPr="00000000">
        <w:rPr>
          <w:rtl w:val="0"/>
        </w:rPr>
      </w:r>
    </w:p>
    <w:p w:rsidR="00000000" w:rsidDel="00000000" w:rsidP="00000000" w:rsidRDefault="00000000" w:rsidRPr="00000000" w14:paraId="0000013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 of enterprise AI - OpenAI, accessed on March 4, 2026, </w:t>
      </w:r>
      <w:hyperlink r:id="rId86">
        <w:r w:rsidDel="00000000" w:rsidR="00000000" w:rsidRPr="00000000">
          <w:rPr>
            <w:rFonts w:ascii="Google Sans" w:cs="Google Sans" w:eastAsia="Google Sans" w:hAnsi="Google Sans"/>
            <w:color w:val="0000ee"/>
            <w:sz w:val="24"/>
            <w:szCs w:val="24"/>
            <w:u w:val="single"/>
            <w:rtl w:val="0"/>
          </w:rPr>
          <w:t xml:space="preserve">https://cdn.openai.com/pdf/7ef17d82-96bf-4dd1-9df2-228f7f377a29/the-state-of-enterprise-ai_2025-report.pdf</w:t>
        </w:r>
      </w:hyperlink>
      <w:r w:rsidDel="00000000" w:rsidR="00000000" w:rsidRPr="00000000">
        <w:rPr>
          <w:rtl w:val="0"/>
        </w:rPr>
      </w:r>
    </w:p>
    <w:p w:rsidR="00000000" w:rsidDel="00000000" w:rsidP="00000000" w:rsidRDefault="00000000" w:rsidRPr="00000000" w14:paraId="0000013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Enterprise AI Adoption: State of Generative AI in 2026 - Stack AI, accessed on March 4, 2026, </w:t>
      </w:r>
      <w:hyperlink r:id="rId87">
        <w:r w:rsidDel="00000000" w:rsidR="00000000" w:rsidRPr="00000000">
          <w:rPr>
            <w:rFonts w:ascii="Google Sans" w:cs="Google Sans" w:eastAsia="Google Sans" w:hAnsi="Google Sans"/>
            <w:color w:val="0000ee"/>
            <w:sz w:val="24"/>
            <w:szCs w:val="24"/>
            <w:u w:val="single"/>
            <w:rtl w:val="0"/>
          </w:rPr>
          <w:t xml:space="preserve">https://www.stack-ai.com/blog/state-of-generative-ai-in-the-enterprise</w:t>
        </w:r>
      </w:hyperlink>
      <w:r w:rsidDel="00000000" w:rsidR="00000000" w:rsidRPr="00000000">
        <w:rPr>
          <w:rtl w:val="0"/>
        </w:rPr>
      </w:r>
    </w:p>
    <w:p w:rsidR="00000000" w:rsidDel="00000000" w:rsidP="00000000" w:rsidRDefault="00000000" w:rsidRPr="00000000" w14:paraId="0000013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McKinsey The State of AI in 2025 | PDF | Artificial Intelligence - Scribd, accessed on March 4, 2026, </w:t>
      </w:r>
      <w:hyperlink r:id="rId88">
        <w:r w:rsidDel="00000000" w:rsidR="00000000" w:rsidRPr="00000000">
          <w:rPr>
            <w:rFonts w:ascii="Google Sans" w:cs="Google Sans" w:eastAsia="Google Sans" w:hAnsi="Google Sans"/>
            <w:color w:val="0000ee"/>
            <w:sz w:val="24"/>
            <w:szCs w:val="24"/>
            <w:u w:val="single"/>
            <w:rtl w:val="0"/>
          </w:rPr>
          <w:t xml:space="preserve">https://www.scribd.com/document/946043265/McKinsey-the-State-of-AI-in-2025</w:t>
        </w:r>
      </w:hyperlink>
      <w:r w:rsidDel="00000000" w:rsidR="00000000" w:rsidRPr="00000000">
        <w:rPr>
          <w:rtl w:val="0"/>
        </w:rPr>
      </w:r>
    </w:p>
    <w:p w:rsidR="00000000" w:rsidDel="00000000" w:rsidP="00000000" w:rsidRDefault="00000000" w:rsidRPr="00000000" w14:paraId="0000013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State of AI in the Enterprise - 2026 AI report | Deloitte US, accessed on March 4, 2026, </w:t>
      </w:r>
      <w:hyperlink r:id="rId89">
        <w:r w:rsidDel="00000000" w:rsidR="00000000" w:rsidRPr="00000000">
          <w:rPr>
            <w:rFonts w:ascii="Google Sans" w:cs="Google Sans" w:eastAsia="Google Sans" w:hAnsi="Google Sans"/>
            <w:color w:val="0000ee"/>
            <w:sz w:val="24"/>
            <w:szCs w:val="24"/>
            <w:u w:val="single"/>
            <w:rtl w:val="0"/>
          </w:rPr>
          <w:t xml:space="preserve">https://www.deloitte.com/us/en/what-we-do/capabilities/applied-artificial-intelligence/content/state-of-ai-in-the-enterprise.html</w:t>
        </w:r>
      </w:hyperlink>
      <w:r w:rsidDel="00000000" w:rsidR="00000000" w:rsidRPr="00000000">
        <w:rPr>
          <w:rtl w:val="0"/>
        </w:rPr>
      </w:r>
    </w:p>
    <w:p w:rsidR="00000000" w:rsidDel="00000000" w:rsidP="00000000" w:rsidRDefault="00000000" w:rsidRPr="00000000" w14:paraId="0000013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Investor Survey 2025 | PwC, accessed on March 4, 2026, </w:t>
      </w:r>
      <w:hyperlink r:id="rId90">
        <w:r w:rsidDel="00000000" w:rsidR="00000000" w:rsidRPr="00000000">
          <w:rPr>
            <w:rFonts w:ascii="Google Sans" w:cs="Google Sans" w:eastAsia="Google Sans" w:hAnsi="Google Sans"/>
            <w:color w:val="0000ee"/>
            <w:sz w:val="24"/>
            <w:szCs w:val="24"/>
            <w:u w:val="single"/>
            <w:rtl w:val="0"/>
          </w:rPr>
          <w:t xml:space="preserve">https://www.pwc.com/gx/en/issues/c-suite-insights/global-investor-survey.html</w:t>
        </w:r>
      </w:hyperlink>
      <w:r w:rsidDel="00000000" w:rsidR="00000000" w:rsidRPr="00000000">
        <w:rPr>
          <w:rtl w:val="0"/>
        </w:rPr>
      </w:r>
    </w:p>
    <w:p w:rsidR="00000000" w:rsidDel="00000000" w:rsidP="00000000" w:rsidRDefault="00000000" w:rsidRPr="00000000" w14:paraId="0000013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KPMG 2025 Futures Report, accessed on March 4, 2026, </w:t>
      </w:r>
      <w:hyperlink r:id="rId91">
        <w:r w:rsidDel="00000000" w:rsidR="00000000" w:rsidRPr="00000000">
          <w:rPr>
            <w:rFonts w:ascii="Google Sans" w:cs="Google Sans" w:eastAsia="Google Sans" w:hAnsi="Google Sans"/>
            <w:color w:val="0000ee"/>
            <w:sz w:val="24"/>
            <w:szCs w:val="24"/>
            <w:u w:val="single"/>
            <w:rtl w:val="0"/>
          </w:rPr>
          <w:t xml:space="preserve">https://kpmg.com/us/en/articles/2025/kpmg-2025-futures-report.html</w:t>
        </w:r>
      </w:hyperlink>
      <w:r w:rsidDel="00000000" w:rsidR="00000000" w:rsidRPr="00000000">
        <w:rPr>
          <w:rtl w:val="0"/>
        </w:rPr>
      </w:r>
    </w:p>
    <w:p w:rsidR="00000000" w:rsidDel="00000000" w:rsidP="00000000" w:rsidRDefault="00000000" w:rsidRPr="00000000" w14:paraId="0000013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we enabled Agents at Scale in the Enterprise with the Agentic AI Mesh | by QuantumBlack, AI by McKinsey - Medium, accessed on March 4, 2026, </w:t>
      </w:r>
      <w:hyperlink r:id="rId92">
        <w:r w:rsidDel="00000000" w:rsidR="00000000" w:rsidRPr="00000000">
          <w:rPr>
            <w:rFonts w:ascii="Google Sans" w:cs="Google Sans" w:eastAsia="Google Sans" w:hAnsi="Google Sans"/>
            <w:color w:val="0000ee"/>
            <w:sz w:val="24"/>
            <w:szCs w:val="24"/>
            <w:u w:val="single"/>
            <w:rtl w:val="0"/>
          </w:rPr>
          <w:t xml:space="preserve">https://medium.com/quantumblack/how-we-enabled-agents-at-scale-in-the-enterprise-with-the-agentic-ai-mesh-baf4290daf48</w:t>
        </w:r>
      </w:hyperlink>
      <w:r w:rsidDel="00000000" w:rsidR="00000000" w:rsidRPr="00000000">
        <w:rPr>
          <w:rtl w:val="0"/>
        </w:rPr>
      </w:r>
    </w:p>
    <w:p w:rsidR="00000000" w:rsidDel="00000000" w:rsidP="00000000" w:rsidRDefault="00000000" w:rsidRPr="00000000" w14:paraId="0000013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Agents: What They Are and Their Business Impact | BCG, accessed on March 4, 2026, </w:t>
      </w:r>
      <w:hyperlink r:id="rId93">
        <w:r w:rsidDel="00000000" w:rsidR="00000000" w:rsidRPr="00000000">
          <w:rPr>
            <w:rFonts w:ascii="Google Sans" w:cs="Google Sans" w:eastAsia="Google Sans" w:hAnsi="Google Sans"/>
            <w:color w:val="0000ee"/>
            <w:sz w:val="24"/>
            <w:szCs w:val="24"/>
            <w:u w:val="single"/>
            <w:rtl w:val="0"/>
          </w:rPr>
          <w:t xml:space="preserve">https://www.bcg.com/capabilities/artificial-intelligence/ai-agents</w:t>
        </w:r>
      </w:hyperlink>
      <w:r w:rsidDel="00000000" w:rsidR="00000000" w:rsidRPr="00000000">
        <w:rPr>
          <w:rtl w:val="0"/>
        </w:rPr>
      </w:r>
    </w:p>
    <w:p w:rsidR="00000000" w:rsidDel="00000000" w:rsidP="00000000" w:rsidRDefault="00000000" w:rsidRPr="00000000" w14:paraId="0000014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an AI agent? - McKinsey, accessed on March 4, 2026, </w:t>
      </w:r>
      <w:hyperlink r:id="rId94">
        <w:r w:rsidDel="00000000" w:rsidR="00000000" w:rsidRPr="00000000">
          <w:rPr>
            <w:rFonts w:ascii="Google Sans" w:cs="Google Sans" w:eastAsia="Google Sans" w:hAnsi="Google Sans"/>
            <w:color w:val="0000ee"/>
            <w:sz w:val="24"/>
            <w:szCs w:val="24"/>
            <w:u w:val="single"/>
            <w:rtl w:val="0"/>
          </w:rPr>
          <w:t xml:space="preserve">https://www.mckinsey.com/featured-insights/mckinsey-explainers/what-is-an-ai-agent</w:t>
        </w:r>
      </w:hyperlink>
      <w:r w:rsidDel="00000000" w:rsidR="00000000" w:rsidRPr="00000000">
        <w:rPr>
          <w:rtl w:val="0"/>
        </w:rPr>
      </w:r>
    </w:p>
    <w:p w:rsidR="00000000" w:rsidDel="00000000" w:rsidP="00000000" w:rsidRDefault="00000000" w:rsidRPr="00000000" w14:paraId="0000014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agents reshaping the future of work: AI use cases | Deloitte US, accessed on March 4, 2026, </w:t>
      </w:r>
      <w:hyperlink r:id="rId95">
        <w:r w:rsidDel="00000000" w:rsidR="00000000" w:rsidRPr="00000000">
          <w:rPr>
            <w:rFonts w:ascii="Google Sans" w:cs="Google Sans" w:eastAsia="Google Sans" w:hAnsi="Google Sans"/>
            <w:color w:val="0000ee"/>
            <w:sz w:val="24"/>
            <w:szCs w:val="24"/>
            <w:u w:val="single"/>
            <w:rtl w:val="0"/>
          </w:rPr>
          <w:t xml:space="preserve">https://www.deloitte.com/us/en/what-we-do/capabilities/applied-artificial-intelligence/articles/ai-agents-multiagent-systems.html</w:t>
        </w:r>
      </w:hyperlink>
      <w:r w:rsidDel="00000000" w:rsidR="00000000" w:rsidRPr="00000000">
        <w:rPr>
          <w:rtl w:val="0"/>
        </w:rPr>
      </w:r>
    </w:p>
    <w:p w:rsidR="00000000" w:rsidDel="00000000" w:rsidP="00000000" w:rsidRDefault="00000000" w:rsidRPr="00000000" w14:paraId="0000014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Seizing the agentic AI advantage - McKinsey, accessed on March 4, 2026, </w:t>
      </w:r>
      <w:hyperlink r:id="rId96">
        <w:r w:rsidDel="00000000" w:rsidR="00000000" w:rsidRPr="00000000">
          <w:rPr>
            <w:rFonts w:ascii="Google Sans" w:cs="Google Sans" w:eastAsia="Google Sans" w:hAnsi="Google Sans"/>
            <w:color w:val="0000ee"/>
            <w:sz w:val="24"/>
            <w:szCs w:val="24"/>
            <w:u w:val="single"/>
            <w:rtl w:val="0"/>
          </w:rPr>
          <w:t xml:space="preserve">https://www.mckinsey.com.br/capabilities/quantumblack/our-insights/seizing-the-agentic-ai-advantage</w:t>
        </w:r>
      </w:hyperlink>
      <w:r w:rsidDel="00000000" w:rsidR="00000000" w:rsidRPr="00000000">
        <w:rPr>
          <w:rtl w:val="0"/>
        </w:rPr>
      </w:r>
    </w:p>
    <w:p w:rsidR="00000000" w:rsidDel="00000000" w:rsidP="00000000" w:rsidRDefault="00000000" w:rsidRPr="00000000" w14:paraId="0000014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agentic reality check: Preparing for a silicon-based workforce - Deloitte, accessed on March 4, 2026, </w:t>
      </w:r>
      <w:hyperlink r:id="rId97">
        <w:r w:rsidDel="00000000" w:rsidR="00000000" w:rsidRPr="00000000">
          <w:rPr>
            <w:rFonts w:ascii="Google Sans" w:cs="Google Sans" w:eastAsia="Google Sans" w:hAnsi="Google Sans"/>
            <w:color w:val="0000ee"/>
            <w:sz w:val="24"/>
            <w:szCs w:val="24"/>
            <w:u w:val="single"/>
            <w:rtl w:val="0"/>
          </w:rPr>
          <w:t xml:space="preserve">https://www.deloitte.com/us/en/insights/topics/technology-management/tech-trends/2026/agentic-ai-strategy.html</w:t>
        </w:r>
      </w:hyperlink>
      <w:r w:rsidDel="00000000" w:rsidR="00000000" w:rsidRPr="00000000">
        <w:rPr>
          <w:rtl w:val="0"/>
        </w:rPr>
      </w:r>
    </w:p>
    <w:p w:rsidR="00000000" w:rsidDel="00000000" w:rsidP="00000000" w:rsidRDefault="00000000" w:rsidRPr="00000000" w14:paraId="0000014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Unlocking exponential value with AI agent orchestration - Deloitte, accessed on March 4, 2026, </w:t>
      </w:r>
      <w:hyperlink r:id="rId98">
        <w:r w:rsidDel="00000000" w:rsidR="00000000" w:rsidRPr="00000000">
          <w:rPr>
            <w:rFonts w:ascii="Google Sans" w:cs="Google Sans" w:eastAsia="Google Sans" w:hAnsi="Google Sans"/>
            <w:color w:val="0000ee"/>
            <w:sz w:val="24"/>
            <w:szCs w:val="24"/>
            <w:u w:val="single"/>
            <w:rtl w:val="0"/>
          </w:rPr>
          <w:t xml:space="preserve">https://www.deloitte.com/us/en/insights/industry/technology/technology-media-and-telecom-predictions/2026/ai-agent-orchestration.html</w:t>
        </w:r>
      </w:hyperlink>
      <w:r w:rsidDel="00000000" w:rsidR="00000000" w:rsidRPr="00000000">
        <w:rPr>
          <w:rtl w:val="0"/>
        </w:rPr>
      </w:r>
    </w:p>
    <w:p w:rsidR="00000000" w:rsidDel="00000000" w:rsidP="00000000" w:rsidRDefault="00000000" w:rsidRPr="00000000" w14:paraId="0000014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Can We Meet AI's Insatiable Demand for Compute Power ..., accessed on March 4, 2026, </w:t>
      </w:r>
      <w:hyperlink r:id="rId99">
        <w:r w:rsidDel="00000000" w:rsidR="00000000" w:rsidRPr="00000000">
          <w:rPr>
            <w:rFonts w:ascii="Google Sans" w:cs="Google Sans" w:eastAsia="Google Sans" w:hAnsi="Google Sans"/>
            <w:color w:val="0000ee"/>
            <w:sz w:val="24"/>
            <w:szCs w:val="24"/>
            <w:u w:val="single"/>
            <w:rtl w:val="0"/>
          </w:rPr>
          <w:t xml:space="preserve">https://www.bain.com/insights/how-can-we-meet-ais-insatiable-demand-for-compute-power-technology-report-2025/</w:t>
        </w:r>
      </w:hyperlink>
      <w:r w:rsidDel="00000000" w:rsidR="00000000" w:rsidRPr="00000000">
        <w:rPr>
          <w:rtl w:val="0"/>
        </w:rPr>
      </w:r>
    </w:p>
    <w:p w:rsidR="00000000" w:rsidDel="00000000" w:rsidP="00000000" w:rsidRDefault="00000000" w:rsidRPr="00000000" w14:paraId="0000014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trends 2025: Adoption barriers and updated predictions - Deloitte, accessed on March 4, 2026, </w:t>
      </w:r>
      <w:hyperlink r:id="rId100">
        <w:r w:rsidDel="00000000" w:rsidR="00000000" w:rsidRPr="00000000">
          <w:rPr>
            <w:rFonts w:ascii="Google Sans" w:cs="Google Sans" w:eastAsia="Google Sans" w:hAnsi="Google Sans"/>
            <w:color w:val="0000ee"/>
            <w:sz w:val="24"/>
            <w:szCs w:val="24"/>
            <w:u w:val="single"/>
            <w:rtl w:val="0"/>
          </w:rPr>
          <w:t xml:space="preserve">https://www.deloitte.com/us/en/what-we-do/capabilities/applied-artificial-intelligence/blogs/pulse-check-series-latest-ai-developments/ai-adoption-challenges-ai-trends.html</w:t>
        </w:r>
      </w:hyperlink>
      <w:r w:rsidDel="00000000" w:rsidR="00000000" w:rsidRPr="00000000">
        <w:rPr>
          <w:rtl w:val="0"/>
        </w:rPr>
      </w:r>
    </w:p>
    <w:p w:rsidR="00000000" w:rsidDel="00000000" w:rsidP="00000000" w:rsidRDefault="00000000" w:rsidRPr="00000000" w14:paraId="0000014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in 2030 | Epoch AI, accessed on March 4, 2026, </w:t>
      </w:r>
      <w:hyperlink r:id="rId101">
        <w:r w:rsidDel="00000000" w:rsidR="00000000" w:rsidRPr="00000000">
          <w:rPr>
            <w:rFonts w:ascii="Google Sans" w:cs="Google Sans" w:eastAsia="Google Sans" w:hAnsi="Google Sans"/>
            <w:color w:val="0000ee"/>
            <w:sz w:val="24"/>
            <w:szCs w:val="24"/>
            <w:u w:val="single"/>
            <w:rtl w:val="0"/>
          </w:rPr>
          <w:t xml:space="preserve">https://epoch.ai/files/AI_2030.pdf</w:t>
        </w:r>
      </w:hyperlink>
      <w:r w:rsidDel="00000000" w:rsidR="00000000" w:rsidRPr="00000000">
        <w:rPr>
          <w:rtl w:val="0"/>
        </w:rPr>
      </w:r>
    </w:p>
    <w:p w:rsidR="00000000" w:rsidDel="00000000" w:rsidP="00000000" w:rsidRDefault="00000000" w:rsidRPr="00000000" w14:paraId="0000014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KPMG AI Technology, accessed on March 4, 2026, </w:t>
      </w:r>
      <w:hyperlink r:id="rId102">
        <w:r w:rsidDel="00000000" w:rsidR="00000000" w:rsidRPr="00000000">
          <w:rPr>
            <w:rFonts w:ascii="Google Sans" w:cs="Google Sans" w:eastAsia="Google Sans" w:hAnsi="Google Sans"/>
            <w:color w:val="0000ee"/>
            <w:sz w:val="24"/>
            <w:szCs w:val="24"/>
            <w:u w:val="single"/>
            <w:rtl w:val="0"/>
          </w:rPr>
          <w:t xml:space="preserve">https://assets.kpmg.com/content/dam/kpmgsites/xx/pdf/2026/02/kpmg-ai-technology-slipsheet.pdf</w:t>
        </w:r>
      </w:hyperlink>
      <w:r w:rsidDel="00000000" w:rsidR="00000000" w:rsidRPr="00000000">
        <w:rPr>
          <w:rtl w:val="0"/>
        </w:rPr>
      </w:r>
    </w:p>
    <w:p w:rsidR="00000000" w:rsidDel="00000000" w:rsidP="00000000" w:rsidRDefault="00000000" w:rsidRPr="00000000" w14:paraId="0000014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Where 2025's AI predictions hit, missed, and what supply chain leaders must, accessed on March 4, 2026, </w:t>
      </w:r>
      <w:hyperlink r:id="rId103">
        <w:r w:rsidDel="00000000" w:rsidR="00000000" w:rsidRPr="00000000">
          <w:rPr>
            <w:rFonts w:ascii="Google Sans" w:cs="Google Sans" w:eastAsia="Google Sans" w:hAnsi="Google Sans"/>
            <w:color w:val="0000ee"/>
            <w:sz w:val="24"/>
            <w:szCs w:val="24"/>
            <w:u w:val="single"/>
            <w:rtl w:val="0"/>
          </w:rPr>
          <w:t xml:space="preserve">https://www.scmr.com/article/where-2025s-ai-predictions-hit-missed-and-what-supply-chain-leaders-must-recalibrate-in-2026</w:t>
        </w:r>
      </w:hyperlink>
      <w:r w:rsidDel="00000000" w:rsidR="00000000" w:rsidRPr="00000000">
        <w:rPr>
          <w:rtl w:val="0"/>
        </w:rPr>
      </w:r>
    </w:p>
    <w:p w:rsidR="00000000" w:rsidDel="00000000" w:rsidP="00000000" w:rsidRDefault="00000000" w:rsidRPr="00000000" w14:paraId="0000014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Agentic AI is Transforming Enterprise Platforms | BCG, accessed on March 4, 2026, </w:t>
      </w:r>
      <w:hyperlink r:id="rId104">
        <w:r w:rsidDel="00000000" w:rsidR="00000000" w:rsidRPr="00000000">
          <w:rPr>
            <w:rFonts w:ascii="Google Sans" w:cs="Google Sans" w:eastAsia="Google Sans" w:hAnsi="Google Sans"/>
            <w:color w:val="0000ee"/>
            <w:sz w:val="24"/>
            <w:szCs w:val="24"/>
            <w:u w:val="single"/>
            <w:rtl w:val="0"/>
          </w:rPr>
          <w:t xml:space="preserve">https://www.bcg.com/publications/2025/how-agentic-ai-is-transforming-enterprise-platforms</w:t>
        </w:r>
      </w:hyperlink>
      <w:r w:rsidDel="00000000" w:rsidR="00000000" w:rsidRPr="00000000">
        <w:rPr>
          <w:rtl w:val="0"/>
        </w:rPr>
      </w:r>
    </w:p>
    <w:p w:rsidR="00000000" w:rsidDel="00000000" w:rsidP="00000000" w:rsidRDefault="00000000" w:rsidRPr="00000000" w14:paraId="0000014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One year of agentic AI: Six lessons from the people doing the work - McKinsey, accessed on March 4, 2026, </w:t>
      </w:r>
      <w:hyperlink r:id="rId105">
        <w:r w:rsidDel="00000000" w:rsidR="00000000" w:rsidRPr="00000000">
          <w:rPr>
            <w:rFonts w:ascii="Google Sans" w:cs="Google Sans" w:eastAsia="Google Sans" w:hAnsi="Google Sans"/>
            <w:color w:val="0000ee"/>
            <w:sz w:val="24"/>
            <w:szCs w:val="24"/>
            <w:u w:val="single"/>
            <w:rtl w:val="0"/>
          </w:rPr>
          <w:t xml:space="preserve">https://www.mckinsey.com/capabilities/quantumblack/our-insights/one-year-of-agentic-ai-six-lessons-from-the-people-doing-the-work</w:t>
        </w:r>
      </w:hyperlink>
      <w:r w:rsidDel="00000000" w:rsidR="00000000" w:rsidRPr="00000000">
        <w:rPr>
          <w:rtl w:val="0"/>
        </w:rPr>
      </w:r>
    </w:p>
    <w:p w:rsidR="00000000" w:rsidDel="00000000" w:rsidP="00000000" w:rsidRDefault="00000000" w:rsidRPr="00000000" w14:paraId="0000014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Barometer 2025: impact on work and workforce | EY - Netherlands, accessed on March 4, 2026, </w:t>
      </w:r>
      <w:hyperlink r:id="rId106">
        <w:r w:rsidDel="00000000" w:rsidR="00000000" w:rsidRPr="00000000">
          <w:rPr>
            <w:rFonts w:ascii="Google Sans" w:cs="Google Sans" w:eastAsia="Google Sans" w:hAnsi="Google Sans"/>
            <w:color w:val="0000ee"/>
            <w:sz w:val="24"/>
            <w:szCs w:val="24"/>
            <w:u w:val="single"/>
            <w:rtl w:val="0"/>
          </w:rPr>
          <w:t xml:space="preserve">https://www.ey.com/en_nl/services/ai/ai-barometer-2025-impact-op-werk-en-workforce</w:t>
        </w:r>
      </w:hyperlink>
      <w:r w:rsidDel="00000000" w:rsidR="00000000" w:rsidRPr="00000000">
        <w:rPr>
          <w:rtl w:val="0"/>
        </w:rPr>
      </w:r>
    </w:p>
    <w:p w:rsidR="00000000" w:rsidDel="00000000" w:rsidP="00000000" w:rsidRDefault="00000000" w:rsidRPr="00000000" w14:paraId="0000014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EY Study European AI Barometer 2025 | EY - Switzerland, accessed on March 4, 2026, </w:t>
      </w:r>
      <w:hyperlink r:id="rId107">
        <w:r w:rsidDel="00000000" w:rsidR="00000000" w:rsidRPr="00000000">
          <w:rPr>
            <w:rFonts w:ascii="Google Sans" w:cs="Google Sans" w:eastAsia="Google Sans" w:hAnsi="Google Sans"/>
            <w:color w:val="0000ee"/>
            <w:sz w:val="24"/>
            <w:szCs w:val="24"/>
            <w:u w:val="single"/>
            <w:rtl w:val="0"/>
          </w:rPr>
          <w:t xml:space="preserve">https://www.ey.com/en_ch/insights/ai/ey-study-european-ai-barometer-2025</w:t>
        </w:r>
      </w:hyperlink>
      <w:r w:rsidDel="00000000" w:rsidR="00000000" w:rsidRPr="00000000">
        <w:rPr>
          <w:rtl w:val="0"/>
        </w:rPr>
      </w:r>
    </w:p>
    <w:p w:rsidR="00000000" w:rsidDel="00000000" w:rsidP="00000000" w:rsidRDefault="00000000" w:rsidRPr="00000000" w14:paraId="0000014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enterprise in 2030 | IBM, accessed on March 4, 2026, </w:t>
      </w:r>
      <w:hyperlink r:id="rId108">
        <w:r w:rsidDel="00000000" w:rsidR="00000000" w:rsidRPr="00000000">
          <w:rPr>
            <w:rFonts w:ascii="Google Sans" w:cs="Google Sans" w:eastAsia="Google Sans" w:hAnsi="Google Sans"/>
            <w:color w:val="0000ee"/>
            <w:sz w:val="24"/>
            <w:szCs w:val="24"/>
            <w:u w:val="single"/>
            <w:rtl w:val="0"/>
          </w:rPr>
          <w:t xml:space="preserve">https://www.ibm.com/thought-leadership/institute-business-value/en-us/report/enterprise-2030</w:t>
        </w:r>
      </w:hyperlink>
      <w:r w:rsidDel="00000000" w:rsidR="00000000" w:rsidRPr="00000000">
        <w:rPr>
          <w:rtl w:val="0"/>
        </w:rPr>
      </w:r>
    </w:p>
    <w:p w:rsidR="00000000" w:rsidDel="00000000" w:rsidP="00000000" w:rsidRDefault="00000000" w:rsidRPr="00000000" w14:paraId="0000014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EY survey reveals companies are missing out on up to 40% of AI productivity gains due to gaps in talent strategy, accessed on March 4, 2026, </w:t>
      </w:r>
      <w:hyperlink r:id="rId109">
        <w:r w:rsidDel="00000000" w:rsidR="00000000" w:rsidRPr="00000000">
          <w:rPr>
            <w:rFonts w:ascii="Google Sans" w:cs="Google Sans" w:eastAsia="Google Sans" w:hAnsi="Google Sans"/>
            <w:color w:val="0000ee"/>
            <w:sz w:val="24"/>
            <w:szCs w:val="24"/>
            <w:u w:val="single"/>
            <w:rtl w:val="0"/>
          </w:rPr>
          <w:t xml:space="preserve">https://www.ey.com/en_gl/newsroom/2025/11/ey-survey-reveals-companies-are-missing-out-on-up-to-40-percent-of-ai-productivity-gains-due-to-gaps-in-talent-strategy</w:t>
        </w:r>
      </w:hyperlink>
      <w:r w:rsidDel="00000000" w:rsidR="00000000" w:rsidRPr="00000000">
        <w:rPr>
          <w:rtl w:val="0"/>
        </w:rPr>
      </w:r>
    </w:p>
    <w:p w:rsidR="00000000" w:rsidDel="00000000" w:rsidP="00000000" w:rsidRDefault="00000000" w:rsidRPr="00000000" w14:paraId="0000015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 Insights at Speed, with AI | Bain &amp; Company, accessed on March 4, 2026, </w:t>
      </w:r>
      <w:hyperlink r:id="rId110">
        <w:r w:rsidDel="00000000" w:rsidR="00000000" w:rsidRPr="00000000">
          <w:rPr>
            <w:rFonts w:ascii="Google Sans" w:cs="Google Sans" w:eastAsia="Google Sans" w:hAnsi="Google Sans"/>
            <w:color w:val="0000ee"/>
            <w:sz w:val="24"/>
            <w:szCs w:val="24"/>
            <w:u w:val="single"/>
            <w:rtl w:val="0"/>
          </w:rPr>
          <w:t xml:space="preserve">https://www.bain.com/insights/human-insights-at-speed-with-ai-innovation-report-2025/</w:t>
        </w:r>
      </w:hyperlink>
      <w:r w:rsidDel="00000000" w:rsidR="00000000" w:rsidRPr="00000000">
        <w:rPr>
          <w:rtl w:val="0"/>
        </w:rPr>
      </w:r>
    </w:p>
    <w:p w:rsidR="00000000" w:rsidDel="00000000" w:rsidP="00000000" w:rsidRDefault="00000000" w:rsidRPr="00000000" w14:paraId="0000015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Is Moving Faster Than Your Workforce Strategy. Are You Ready?, accessed on March 4, 2026, </w:t>
      </w:r>
      <w:hyperlink r:id="rId111">
        <w:r w:rsidDel="00000000" w:rsidR="00000000" w:rsidRPr="00000000">
          <w:rPr>
            <w:rFonts w:ascii="Google Sans" w:cs="Google Sans" w:eastAsia="Google Sans" w:hAnsi="Google Sans"/>
            <w:color w:val="0000ee"/>
            <w:sz w:val="24"/>
            <w:szCs w:val="24"/>
            <w:u w:val="single"/>
            <w:rtl w:val="0"/>
          </w:rPr>
          <w:t xml:space="preserve">https://www.bcg.com/publications/2025/ai-is-outpacing-your-workforce-strategy-are-you-ready</w:t>
        </w:r>
      </w:hyperlink>
      <w:r w:rsidDel="00000000" w:rsidR="00000000" w:rsidRPr="00000000">
        <w:rPr>
          <w:rtl w:val="0"/>
        </w:rPr>
      </w:r>
    </w:p>
    <w:p w:rsidR="00000000" w:rsidDel="00000000" w:rsidP="00000000" w:rsidRDefault="00000000" w:rsidRPr="00000000" w14:paraId="0000015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blueprint for creating value through AI-driven transformation, accessed on March 4, 2026, </w:t>
      </w:r>
      <w:hyperlink r:id="rId112">
        <w:r w:rsidDel="00000000" w:rsidR="00000000" w:rsidRPr="00000000">
          <w:rPr>
            <w:rFonts w:ascii="Google Sans" w:cs="Google Sans" w:eastAsia="Google Sans" w:hAnsi="Google Sans"/>
            <w:color w:val="0000ee"/>
            <w:sz w:val="24"/>
            <w:szCs w:val="24"/>
            <w:u w:val="single"/>
            <w:rtl w:val="0"/>
          </w:rPr>
          <w:t xml:space="preserve">https://assets.kpmg.com/content/dam/kpmg/ng/pdf/2025/intelligent-industries/Intelligent%20manufacturing%20-%20Report.pdf</w:t>
        </w:r>
      </w:hyperlink>
      <w:r w:rsidDel="00000000" w:rsidR="00000000" w:rsidRPr="00000000">
        <w:rPr>
          <w:rtl w:val="0"/>
        </w:rPr>
      </w:r>
    </w:p>
    <w:p w:rsidR="00000000" w:rsidDel="00000000" w:rsidP="00000000" w:rsidRDefault="00000000" w:rsidRPr="00000000" w14:paraId="0000015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30 Voices on 2030 - KPMG agentic corporate services, accessed on March 4, 2026, </w:t>
      </w:r>
      <w:hyperlink r:id="rId113">
        <w:r w:rsidDel="00000000" w:rsidR="00000000" w:rsidRPr="00000000">
          <w:rPr>
            <w:rFonts w:ascii="Google Sans" w:cs="Google Sans" w:eastAsia="Google Sans" w:hAnsi="Google Sans"/>
            <w:color w:val="0000ee"/>
            <w:sz w:val="24"/>
            <w:szCs w:val="24"/>
            <w:u w:val="single"/>
            <w:rtl w:val="0"/>
          </w:rPr>
          <w:t xml:space="preserve">https://assets.kpmg.com/content/dam/kpmg/im/pdf/30_voices_2030%20report.pdf</w:t>
        </w:r>
      </w:hyperlink>
      <w:r w:rsidDel="00000000" w:rsidR="00000000" w:rsidRPr="00000000">
        <w:rPr>
          <w:rtl w:val="0"/>
        </w:rPr>
      </w:r>
    </w:p>
    <w:p w:rsidR="00000000" w:rsidDel="00000000" w:rsidP="00000000" w:rsidRDefault="00000000" w:rsidRPr="00000000" w14:paraId="0000015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blueprint for creating value through AI-driven transformation - KPMG agentic corporate services, accessed on March 4, 2026, </w:t>
      </w:r>
      <w:hyperlink r:id="rId114">
        <w:r w:rsidDel="00000000" w:rsidR="00000000" w:rsidRPr="00000000">
          <w:rPr>
            <w:rFonts w:ascii="Google Sans" w:cs="Google Sans" w:eastAsia="Google Sans" w:hAnsi="Google Sans"/>
            <w:color w:val="0000ee"/>
            <w:sz w:val="24"/>
            <w:szCs w:val="24"/>
            <w:u w:val="single"/>
            <w:rtl w:val="0"/>
          </w:rPr>
          <w:t xml:space="preserve">https://assets.kpmg.com/content/dam/kpmgsites/ie/pdf/insights/energy/ie-ENR-%20Intelligent-Enterprise-Energy-Cut.pdf.coredownload.inline.pdf</w:t>
        </w:r>
      </w:hyperlink>
      <w:r w:rsidDel="00000000" w:rsidR="00000000" w:rsidRPr="00000000">
        <w:rPr>
          <w:rtl w:val="0"/>
        </w:rPr>
      </w:r>
    </w:p>
    <w:p w:rsidR="00000000" w:rsidDel="00000000" w:rsidP="00000000" w:rsidRDefault="00000000" w:rsidRPr="00000000" w14:paraId="0000015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Intelligent government - A blueprint for creating citizen-centric value through AI-driven transformation - KPMG agentic corporate services, accessed on March 4, 2026, </w:t>
      </w:r>
      <w:hyperlink r:id="rId115">
        <w:r w:rsidDel="00000000" w:rsidR="00000000" w:rsidRPr="00000000">
          <w:rPr>
            <w:rFonts w:ascii="Google Sans" w:cs="Google Sans" w:eastAsia="Google Sans" w:hAnsi="Google Sans"/>
            <w:color w:val="0000ee"/>
            <w:sz w:val="24"/>
            <w:szCs w:val="24"/>
            <w:u w:val="single"/>
            <w:rtl w:val="0"/>
          </w:rPr>
          <w:t xml:space="preserve">https://assets.kpmg.com/content/dam/kpmgsites/ie/pdf/insights/government/ie-intelligent-government.pdf.coredownload.inline.pdf</w:t>
        </w:r>
      </w:hyperlink>
      <w:r w:rsidDel="00000000" w:rsidR="00000000" w:rsidRPr="00000000">
        <w:rPr>
          <w:rtl w:val="0"/>
        </w:rPr>
      </w:r>
    </w:p>
    <w:p w:rsidR="00000000" w:rsidDel="00000000" w:rsidP="00000000" w:rsidRDefault="00000000" w:rsidRPr="00000000" w14:paraId="0000015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Is Transforming Productivity, but Sales Remains a New Frontier | Bain &amp; Company, accessed on March 4, 2026, </w:t>
      </w:r>
      <w:hyperlink r:id="rId116">
        <w:r w:rsidDel="00000000" w:rsidR="00000000" w:rsidRPr="00000000">
          <w:rPr>
            <w:rFonts w:ascii="Google Sans" w:cs="Google Sans" w:eastAsia="Google Sans" w:hAnsi="Google Sans"/>
            <w:color w:val="0000ee"/>
            <w:sz w:val="24"/>
            <w:szCs w:val="24"/>
            <w:u w:val="single"/>
            <w:rtl w:val="0"/>
          </w:rPr>
          <w:t xml:space="preserve">https://www.bain.com/insights/ai-transforming-productivity-sales-remains-new-frontier-technology-report-2025/</w:t>
        </w:r>
      </w:hyperlink>
      <w:r w:rsidDel="00000000" w:rsidR="00000000" w:rsidRPr="00000000">
        <w:rPr>
          <w:rtl w:val="0"/>
        </w:rPr>
      </w:r>
    </w:p>
    <w:p w:rsidR="00000000" w:rsidDel="00000000" w:rsidP="00000000" w:rsidRDefault="00000000" w:rsidRPr="00000000" w14:paraId="0000015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KPMG 2025 Global CEO Outlook, accessed on March 4, 2026, </w:t>
      </w:r>
      <w:hyperlink r:id="rId117">
        <w:r w:rsidDel="00000000" w:rsidR="00000000" w:rsidRPr="00000000">
          <w:rPr>
            <w:rFonts w:ascii="Google Sans" w:cs="Google Sans" w:eastAsia="Google Sans" w:hAnsi="Google Sans"/>
            <w:color w:val="0000ee"/>
            <w:sz w:val="24"/>
            <w:szCs w:val="24"/>
            <w:u w:val="single"/>
            <w:rtl w:val="0"/>
          </w:rPr>
          <w:t xml:space="preserve">https://kpmg.com/xx/en/our-insights/value-creation/global-ceo-outlook-survey.html</w:t>
        </w:r>
      </w:hyperlink>
      <w:r w:rsidDel="00000000" w:rsidR="00000000" w:rsidRPr="00000000">
        <w:rPr>
          <w:rtl w:val="0"/>
        </w:rPr>
      </w:r>
    </w:p>
    <w:p w:rsidR="00000000" w:rsidDel="00000000" w:rsidP="00000000" w:rsidRDefault="00000000" w:rsidRPr="00000000" w14:paraId="0000015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Workforce – From Hype to Hard Truths - KPMG agentic corporate services, accessed on March 4, 2026, </w:t>
      </w:r>
      <w:hyperlink r:id="rId118">
        <w:r w:rsidDel="00000000" w:rsidR="00000000" w:rsidRPr="00000000">
          <w:rPr>
            <w:rFonts w:ascii="Google Sans" w:cs="Google Sans" w:eastAsia="Google Sans" w:hAnsi="Google Sans"/>
            <w:color w:val="0000ee"/>
            <w:sz w:val="24"/>
            <w:szCs w:val="24"/>
            <w:u w:val="single"/>
            <w:rtl w:val="0"/>
          </w:rPr>
          <w:t xml:space="preserve">https://assets.kpmg.com/content/dam/kpmgsites/se/pdf/2025/ai-workforce-from-hype-to-hard-truths.pdf.coredownload.inline.pdf</w:t>
        </w:r>
      </w:hyperlink>
      <w:r w:rsidDel="00000000" w:rsidR="00000000" w:rsidRPr="00000000">
        <w:rPr>
          <w:rtl w:val="0"/>
        </w:rPr>
      </w:r>
    </w:p>
    <w:p w:rsidR="00000000" w:rsidDel="00000000" w:rsidP="00000000" w:rsidRDefault="00000000" w:rsidRPr="00000000" w14:paraId="0000015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great rebuild: Architecting an AI-native tech organization - Deloitte, accessed on March 4, 2026, </w:t>
      </w:r>
      <w:hyperlink r:id="rId119">
        <w:r w:rsidDel="00000000" w:rsidR="00000000" w:rsidRPr="00000000">
          <w:rPr>
            <w:rFonts w:ascii="Google Sans" w:cs="Google Sans" w:eastAsia="Google Sans" w:hAnsi="Google Sans"/>
            <w:color w:val="0000ee"/>
            <w:sz w:val="24"/>
            <w:szCs w:val="24"/>
            <w:u w:val="single"/>
            <w:rtl w:val="0"/>
          </w:rPr>
          <w:t xml:space="preserve">https://www.deloitte.com/us/en/insights/topics/technology-management/tech-trends/2026/ai-future-it-function.html</w:t>
        </w:r>
      </w:hyperlink>
      <w:r w:rsidDel="00000000" w:rsidR="00000000" w:rsidRPr="00000000">
        <w:rPr>
          <w:rtl w:val="0"/>
        </w:rPr>
      </w:r>
    </w:p>
    <w:p w:rsidR="00000000" w:rsidDel="00000000" w:rsidP="00000000" w:rsidRDefault="00000000" w:rsidRPr="00000000" w14:paraId="0000015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Insights - Bain &amp; Company, accessed on March 4, 2026, </w:t>
      </w:r>
      <w:hyperlink r:id="rId120">
        <w:r w:rsidDel="00000000" w:rsidR="00000000" w:rsidRPr="00000000">
          <w:rPr>
            <w:rFonts w:ascii="Google Sans" w:cs="Google Sans" w:eastAsia="Google Sans" w:hAnsi="Google Sans"/>
            <w:color w:val="0000ee"/>
            <w:sz w:val="24"/>
            <w:szCs w:val="24"/>
            <w:u w:val="single"/>
            <w:rtl w:val="0"/>
          </w:rPr>
          <w:t xml:space="preserve">https://www.bain.com/insights/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42" Type="http://schemas.openxmlformats.org/officeDocument/2006/relationships/image" Target="media/image2.png"/><Relationship Id="rId41" Type="http://schemas.openxmlformats.org/officeDocument/2006/relationships/image" Target="media/image6.png"/><Relationship Id="rId44" Type="http://schemas.openxmlformats.org/officeDocument/2006/relationships/image" Target="media/image14.png"/><Relationship Id="rId43" Type="http://schemas.openxmlformats.org/officeDocument/2006/relationships/image" Target="media/image5.png"/><Relationship Id="rId46" Type="http://schemas.openxmlformats.org/officeDocument/2006/relationships/image" Target="media/image11.png"/><Relationship Id="rId45" Type="http://schemas.openxmlformats.org/officeDocument/2006/relationships/image" Target="media/image13.png"/><Relationship Id="rId107" Type="http://schemas.openxmlformats.org/officeDocument/2006/relationships/hyperlink" Target="https://www.ey.com/en_ch/insights/ai/ey-study-european-ai-barometer-2025" TargetMode="External"/><Relationship Id="rId106" Type="http://schemas.openxmlformats.org/officeDocument/2006/relationships/hyperlink" Target="https://www.ey.com/en_nl/services/ai/ai-barometer-2025-impact-op-werk-en-workforce" TargetMode="External"/><Relationship Id="rId105" Type="http://schemas.openxmlformats.org/officeDocument/2006/relationships/hyperlink" Target="https://www.mckinsey.com/capabilities/quantumblack/our-insights/one-year-of-agentic-ai-six-lessons-from-the-people-doing-the-work" TargetMode="External"/><Relationship Id="rId104" Type="http://schemas.openxmlformats.org/officeDocument/2006/relationships/hyperlink" Target="https://www.bcg.com/publications/2025/how-agentic-ai-is-transforming-enterprise-platforms" TargetMode="External"/><Relationship Id="rId109" Type="http://schemas.openxmlformats.org/officeDocument/2006/relationships/hyperlink" Target="https://www.ey.com/en_gl/newsroom/2025/11/ey-survey-reveals-companies-are-missing-out-on-up-to-40-percent-of-ai-productivity-gains-due-to-gaps-in-talent-strategy" TargetMode="External"/><Relationship Id="rId108" Type="http://schemas.openxmlformats.org/officeDocument/2006/relationships/hyperlink" Target="https://www.ibm.com/thought-leadership/institute-business-value/en-us/report/enterprise-2030" TargetMode="External"/><Relationship Id="rId48" Type="http://schemas.openxmlformats.org/officeDocument/2006/relationships/image" Target="media/image43.png"/><Relationship Id="rId47" Type="http://schemas.openxmlformats.org/officeDocument/2006/relationships/image" Target="media/image15.png"/><Relationship Id="rId49" Type="http://schemas.openxmlformats.org/officeDocument/2006/relationships/image" Target="media/image58.png"/><Relationship Id="rId103" Type="http://schemas.openxmlformats.org/officeDocument/2006/relationships/hyperlink" Target="https://www.scmr.com/article/where-2025s-ai-predictions-hit-missed-and-what-supply-chain-leaders-must-recalibrate-in-2026" TargetMode="External"/><Relationship Id="rId102" Type="http://schemas.openxmlformats.org/officeDocument/2006/relationships/hyperlink" Target="https://assets.kpmg.com/content/dam/kpmgsites/xx/pdf/2026/02/kpmg-ai-technology-slipsheet.pdf" TargetMode="External"/><Relationship Id="rId101" Type="http://schemas.openxmlformats.org/officeDocument/2006/relationships/hyperlink" Target="https://epoch.ai/files/AI_2030.pdf" TargetMode="External"/><Relationship Id="rId100" Type="http://schemas.openxmlformats.org/officeDocument/2006/relationships/hyperlink" Target="https://www.deloitte.com/us/en/what-we-do/capabilities/applied-artificial-intelligence/blogs/pulse-check-series-latest-ai-developments/ai-adoption-challenges-ai-trends.html" TargetMode="External"/><Relationship Id="rId31" Type="http://schemas.openxmlformats.org/officeDocument/2006/relationships/image" Target="media/image46.png"/><Relationship Id="rId30" Type="http://schemas.openxmlformats.org/officeDocument/2006/relationships/image" Target="media/image57.png"/><Relationship Id="rId33" Type="http://schemas.openxmlformats.org/officeDocument/2006/relationships/image" Target="media/image25.png"/><Relationship Id="rId32" Type="http://schemas.openxmlformats.org/officeDocument/2006/relationships/image" Target="media/image37.png"/><Relationship Id="rId35" Type="http://schemas.openxmlformats.org/officeDocument/2006/relationships/image" Target="media/image27.png"/><Relationship Id="rId34" Type="http://schemas.openxmlformats.org/officeDocument/2006/relationships/image" Target="media/image22.png"/><Relationship Id="rId37" Type="http://schemas.openxmlformats.org/officeDocument/2006/relationships/image" Target="media/image28.png"/><Relationship Id="rId36" Type="http://schemas.openxmlformats.org/officeDocument/2006/relationships/image" Target="media/image48.png"/><Relationship Id="rId39" Type="http://schemas.openxmlformats.org/officeDocument/2006/relationships/image" Target="media/image29.png"/><Relationship Id="rId38" Type="http://schemas.openxmlformats.org/officeDocument/2006/relationships/image" Target="media/image34.png"/><Relationship Id="rId20" Type="http://schemas.openxmlformats.org/officeDocument/2006/relationships/image" Target="media/image66.png"/><Relationship Id="rId22" Type="http://schemas.openxmlformats.org/officeDocument/2006/relationships/image" Target="media/image69.png"/><Relationship Id="rId21" Type="http://schemas.openxmlformats.org/officeDocument/2006/relationships/image" Target="media/image67.png"/><Relationship Id="rId24" Type="http://schemas.openxmlformats.org/officeDocument/2006/relationships/image" Target="media/image24.png"/><Relationship Id="rId23" Type="http://schemas.openxmlformats.org/officeDocument/2006/relationships/image" Target="media/image42.png"/><Relationship Id="rId26" Type="http://schemas.openxmlformats.org/officeDocument/2006/relationships/image" Target="media/image33.png"/><Relationship Id="rId25" Type="http://schemas.openxmlformats.org/officeDocument/2006/relationships/image" Target="media/image35.png"/><Relationship Id="rId120" Type="http://schemas.openxmlformats.org/officeDocument/2006/relationships/hyperlink" Target="https://www.bain.com/insights/" TargetMode="External"/><Relationship Id="rId28" Type="http://schemas.openxmlformats.org/officeDocument/2006/relationships/image" Target="media/image41.png"/><Relationship Id="rId27" Type="http://schemas.openxmlformats.org/officeDocument/2006/relationships/image" Target="media/image44.png"/><Relationship Id="rId29" Type="http://schemas.openxmlformats.org/officeDocument/2006/relationships/image" Target="media/image23.png"/><Relationship Id="rId95" Type="http://schemas.openxmlformats.org/officeDocument/2006/relationships/hyperlink" Target="https://www.deloitte.com/us/en/what-we-do/capabilities/applied-artificial-intelligence/articles/ai-agents-multiagent-systems.html" TargetMode="External"/><Relationship Id="rId94" Type="http://schemas.openxmlformats.org/officeDocument/2006/relationships/hyperlink" Target="https://www.mckinsey.com/featured-insights/mckinsey-explainers/what-is-an-ai-agent" TargetMode="External"/><Relationship Id="rId97" Type="http://schemas.openxmlformats.org/officeDocument/2006/relationships/hyperlink" Target="https://www.deloitte.com/us/en/insights/topics/technology-management/tech-trends/2026/agentic-ai-strategy.html" TargetMode="External"/><Relationship Id="rId96" Type="http://schemas.openxmlformats.org/officeDocument/2006/relationships/hyperlink" Target="https://www.mckinsey.com.br/capabilities/quantumblack/our-insights/seizing-the-agentic-ai-advantage" TargetMode="External"/><Relationship Id="rId11" Type="http://schemas.openxmlformats.org/officeDocument/2006/relationships/image" Target="media/image50.png"/><Relationship Id="rId99" Type="http://schemas.openxmlformats.org/officeDocument/2006/relationships/hyperlink" Target="https://www.bain.com/insights/how-can-we-meet-ais-insatiable-demand-for-compute-power-technology-report-2025/" TargetMode="External"/><Relationship Id="rId10" Type="http://schemas.openxmlformats.org/officeDocument/2006/relationships/image" Target="media/image40.png"/><Relationship Id="rId98" Type="http://schemas.openxmlformats.org/officeDocument/2006/relationships/hyperlink" Target="https://www.deloitte.com/us/en/insights/industry/technology/technology-media-and-telecom-predictions/2026/ai-agent-orchestration.html" TargetMode="External"/><Relationship Id="rId13" Type="http://schemas.openxmlformats.org/officeDocument/2006/relationships/image" Target="media/image54.png"/><Relationship Id="rId12" Type="http://schemas.openxmlformats.org/officeDocument/2006/relationships/image" Target="media/image51.png"/><Relationship Id="rId91" Type="http://schemas.openxmlformats.org/officeDocument/2006/relationships/hyperlink" Target="https://kpmg.com/us/en/articles/2025/kpmg-2025-futures-report.html" TargetMode="External"/><Relationship Id="rId90" Type="http://schemas.openxmlformats.org/officeDocument/2006/relationships/hyperlink" Target="https://www.pwc.com/gx/en/issues/c-suite-insights/global-investor-survey.html" TargetMode="External"/><Relationship Id="rId93" Type="http://schemas.openxmlformats.org/officeDocument/2006/relationships/hyperlink" Target="https://www.bcg.com/capabilities/artificial-intelligence/ai-agents" TargetMode="External"/><Relationship Id="rId92" Type="http://schemas.openxmlformats.org/officeDocument/2006/relationships/hyperlink" Target="https://medium.com/quantumblack/how-we-enabled-agents-at-scale-in-the-enterprise-with-the-agentic-ai-mesh-baf4290daf48" TargetMode="External"/><Relationship Id="rId118" Type="http://schemas.openxmlformats.org/officeDocument/2006/relationships/hyperlink" Target="https://assets.kpmg.com/content/dam/kpmgsites/se/pdf/2025/ai-workforce-from-hype-to-hard-truths.pdf.coredownload.inline.pdf" TargetMode="External"/><Relationship Id="rId117" Type="http://schemas.openxmlformats.org/officeDocument/2006/relationships/hyperlink" Target="https://kpmg.com/xx/en/our-insights/value-creation/global-ceo-outlook-survey.html" TargetMode="External"/><Relationship Id="rId116" Type="http://schemas.openxmlformats.org/officeDocument/2006/relationships/hyperlink" Target="https://www.bain.com/insights/ai-transforming-productivity-sales-remains-new-frontier-technology-report-2025/" TargetMode="External"/><Relationship Id="rId115" Type="http://schemas.openxmlformats.org/officeDocument/2006/relationships/hyperlink" Target="https://assets.kpmg.com/content/dam/kpmgsites/ie/pdf/insights/government/ie-intelligent-government.pdf.coredownload.inline.pdf" TargetMode="External"/><Relationship Id="rId119" Type="http://schemas.openxmlformats.org/officeDocument/2006/relationships/hyperlink" Target="https://www.deloitte.com/us/en/insights/topics/technology-management/tech-trends/2026/ai-future-it-function.html" TargetMode="External"/><Relationship Id="rId15" Type="http://schemas.openxmlformats.org/officeDocument/2006/relationships/image" Target="media/image63.png"/><Relationship Id="rId110" Type="http://schemas.openxmlformats.org/officeDocument/2006/relationships/hyperlink" Target="https://www.bain.com/insights/human-insights-at-speed-with-ai-innovation-report-2025/" TargetMode="External"/><Relationship Id="rId14" Type="http://schemas.openxmlformats.org/officeDocument/2006/relationships/image" Target="media/image52.png"/><Relationship Id="rId17" Type="http://schemas.openxmlformats.org/officeDocument/2006/relationships/image" Target="media/image61.png"/><Relationship Id="rId16" Type="http://schemas.openxmlformats.org/officeDocument/2006/relationships/image" Target="media/image59.png"/><Relationship Id="rId19" Type="http://schemas.openxmlformats.org/officeDocument/2006/relationships/image" Target="media/image68.png"/><Relationship Id="rId114" Type="http://schemas.openxmlformats.org/officeDocument/2006/relationships/hyperlink" Target="https://assets.kpmg.com/content/dam/kpmgsites/ie/pdf/insights/energy/ie-ENR-%20Intelligent-Enterprise-Energy-Cut.pdf.coredownload.inline.pdf" TargetMode="External"/><Relationship Id="rId18" Type="http://schemas.openxmlformats.org/officeDocument/2006/relationships/image" Target="media/image62.png"/><Relationship Id="rId113" Type="http://schemas.openxmlformats.org/officeDocument/2006/relationships/hyperlink" Target="https://assets.kpmg.com/content/dam/kpmg/im/pdf/30_voices_2030%20report.pdf" TargetMode="External"/><Relationship Id="rId112" Type="http://schemas.openxmlformats.org/officeDocument/2006/relationships/hyperlink" Target="https://assets.kpmg.com/content/dam/kpmg/ng/pdf/2025/intelligent-industries/Intelligent%20manufacturing%20-%20Report.pdf" TargetMode="External"/><Relationship Id="rId111" Type="http://schemas.openxmlformats.org/officeDocument/2006/relationships/hyperlink" Target="https://www.bcg.com/publications/2025/ai-is-outpacing-your-workforce-strategy-are-you-ready" TargetMode="External"/><Relationship Id="rId84" Type="http://schemas.openxmlformats.org/officeDocument/2006/relationships/hyperlink" Target="https://www.bain.com/insights/topics/technology-report/" TargetMode="External"/><Relationship Id="rId83" Type="http://schemas.openxmlformats.org/officeDocument/2006/relationships/hyperlink" Target="https://ventionteams.com/solutions/ai/report" TargetMode="External"/><Relationship Id="rId86" Type="http://schemas.openxmlformats.org/officeDocument/2006/relationships/hyperlink" Target="https://cdn.openai.com/pdf/7ef17d82-96bf-4dd1-9df2-228f7f377a29/the-state-of-enterprise-ai_2025-report.pdf" TargetMode="External"/><Relationship Id="rId85" Type="http://schemas.openxmlformats.org/officeDocument/2006/relationships/hyperlink" Target="https://www.bcg.com/publications/2025/are-you-generating-value-from-ai-the-widening-gap" TargetMode="External"/><Relationship Id="rId88" Type="http://schemas.openxmlformats.org/officeDocument/2006/relationships/hyperlink" Target="https://www.scribd.com/document/946043265/McKinsey-the-State-of-AI-in-2025" TargetMode="External"/><Relationship Id="rId87" Type="http://schemas.openxmlformats.org/officeDocument/2006/relationships/hyperlink" Target="https://www.stack-ai.com/blog/state-of-generative-ai-in-the-enterprise" TargetMode="External"/><Relationship Id="rId89" Type="http://schemas.openxmlformats.org/officeDocument/2006/relationships/hyperlink" Target="https://www.deloitte.com/us/en/what-we-do/capabilities/applied-artificial-intelligence/content/state-of-ai-in-the-enterprise.html" TargetMode="External"/><Relationship Id="rId80" Type="http://schemas.openxmlformats.org/officeDocument/2006/relationships/hyperlink" Target="https://knowledge.wharton.upenn.edu/special-report/2025-ai-adoption-report/" TargetMode="External"/><Relationship Id="rId82" Type="http://schemas.openxmlformats.org/officeDocument/2006/relationships/hyperlink" Target="https://www.mckinsey.com/capabilities/mckinsey-technology/our-insights/bridging-the-great-ai-agent-and-erp-divide-to-unlock-value-at-scale" TargetMode="External"/><Relationship Id="rId81" Type="http://schemas.openxmlformats.org/officeDocument/2006/relationships/hyperlink" Target="https://www.pwc.com/gx/en/global-annual-review/2025/pwc-global-annual-review-2025.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56.png"/><Relationship Id="rId8" Type="http://schemas.openxmlformats.org/officeDocument/2006/relationships/image" Target="media/image47.png"/><Relationship Id="rId73" Type="http://schemas.openxmlformats.org/officeDocument/2006/relationships/image" Target="media/image3.png"/><Relationship Id="rId72" Type="http://schemas.openxmlformats.org/officeDocument/2006/relationships/image" Target="media/image10.png"/><Relationship Id="rId75" Type="http://schemas.openxmlformats.org/officeDocument/2006/relationships/hyperlink" Target="https://www.pwc.com/gx/en/news-room/press-releases/2025/ai-adoption-could-boost-global-gdp-by-an-additional-15-percentage.html" TargetMode="External"/><Relationship Id="rId74" Type="http://schemas.openxmlformats.org/officeDocument/2006/relationships/image" Target="media/image1.png"/><Relationship Id="rId77" Type="http://schemas.openxmlformats.org/officeDocument/2006/relationships/hyperlink" Target="https://www.mckinsey.com/capabilities/tech-and-ai/our-insights/superagency-in-the-workplace-empowering-people-to-unlock-ais-full-potential-at-work" TargetMode="External"/><Relationship Id="rId76" Type="http://schemas.openxmlformats.org/officeDocument/2006/relationships/hyperlink" Target="https://www.pwc.com/us/en/tech-effect/ai-analytics/ai-predictions-update.html" TargetMode="External"/><Relationship Id="rId79" Type="http://schemas.openxmlformats.org/officeDocument/2006/relationships/hyperlink" Target="https://www.glean.com/perspectives/enterprise-insights-from-ai" TargetMode="External"/><Relationship Id="rId78" Type="http://schemas.openxmlformats.org/officeDocument/2006/relationships/hyperlink" Target="https://elfsight.com/blog/ai-usage-statistics-2025/" TargetMode="External"/><Relationship Id="rId71" Type="http://schemas.openxmlformats.org/officeDocument/2006/relationships/image" Target="media/image9.png"/><Relationship Id="rId70" Type="http://schemas.openxmlformats.org/officeDocument/2006/relationships/image" Target="media/image17.png"/><Relationship Id="rId62" Type="http://schemas.openxmlformats.org/officeDocument/2006/relationships/image" Target="media/image38.png"/><Relationship Id="rId61" Type="http://schemas.openxmlformats.org/officeDocument/2006/relationships/image" Target="media/image12.png"/><Relationship Id="rId64" Type="http://schemas.openxmlformats.org/officeDocument/2006/relationships/image" Target="media/image31.png"/><Relationship Id="rId63" Type="http://schemas.openxmlformats.org/officeDocument/2006/relationships/image" Target="media/image32.png"/><Relationship Id="rId66" Type="http://schemas.openxmlformats.org/officeDocument/2006/relationships/image" Target="media/image21.png"/><Relationship Id="rId65" Type="http://schemas.openxmlformats.org/officeDocument/2006/relationships/image" Target="media/image16.png"/><Relationship Id="rId68" Type="http://schemas.openxmlformats.org/officeDocument/2006/relationships/image" Target="media/image20.png"/><Relationship Id="rId67" Type="http://schemas.openxmlformats.org/officeDocument/2006/relationships/image" Target="media/image18.png"/><Relationship Id="rId60" Type="http://schemas.openxmlformats.org/officeDocument/2006/relationships/image" Target="media/image45.png"/><Relationship Id="rId69" Type="http://schemas.openxmlformats.org/officeDocument/2006/relationships/image" Target="media/image19.png"/><Relationship Id="rId51" Type="http://schemas.openxmlformats.org/officeDocument/2006/relationships/image" Target="media/image55.png"/><Relationship Id="rId50" Type="http://schemas.openxmlformats.org/officeDocument/2006/relationships/image" Target="media/image53.png"/><Relationship Id="rId53" Type="http://schemas.openxmlformats.org/officeDocument/2006/relationships/image" Target="media/image65.png"/><Relationship Id="rId52" Type="http://schemas.openxmlformats.org/officeDocument/2006/relationships/image" Target="media/image60.png"/><Relationship Id="rId55" Type="http://schemas.openxmlformats.org/officeDocument/2006/relationships/image" Target="media/image49.png"/><Relationship Id="rId54" Type="http://schemas.openxmlformats.org/officeDocument/2006/relationships/image" Target="media/image64.png"/><Relationship Id="rId57" Type="http://schemas.openxmlformats.org/officeDocument/2006/relationships/image" Target="media/image30.png"/><Relationship Id="rId56" Type="http://schemas.openxmlformats.org/officeDocument/2006/relationships/image" Target="media/image26.png"/><Relationship Id="rId59" Type="http://schemas.openxmlformats.org/officeDocument/2006/relationships/image" Target="media/image36.png"/><Relationship Id="rId58" Type="http://schemas.openxmlformats.org/officeDocument/2006/relationships/image" Target="media/image39.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