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iu5z7aiid0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Market Valuation and Growth Trajectories (2024–2035)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The global collectibles market is experiencing accelerated growth, fueled by macroeconomic trends toward tangible "real assets" that provide non-correlated returns during fiscal volatility.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w5ql7q3qw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Market Projections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.7248619320226"/>
        <w:gridCol w:w="1977.369698977469"/>
        <w:gridCol w:w="1657.8415743183461"/>
        <w:gridCol w:w="2102.4024434092994"/>
        <w:gridCol w:w="1227.1732323864853"/>
        <w:tblGridChange w:id="0">
          <w:tblGrid>
            <w:gridCol w:w="2060.7248619320226"/>
            <w:gridCol w:w="1977.369698977469"/>
            <w:gridCol w:w="1657.8415743183461"/>
            <w:gridCol w:w="2102.4024434092994"/>
            <w:gridCol w:w="1227.173232386485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 Valuation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 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2033–35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CAGR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Broad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473.81B - 496.2B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496.2B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1.013 Trillion (2035)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5.5% - 7.4%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U.S. Regional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30.5B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32.13B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48.08B (2033)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5.3%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Trading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15.8B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464.2B*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704.5B (2033)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7.2%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Fractional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8.2B (2024)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20.1B (2033)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10.7%</w:t>
            </w:r>
          </w:p>
        </w:tc>
      </w:tr>
    </w:tbl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*Note: Some estimates incorporate a broader definition including digital assets and contemporary memorabilia.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st59ctm2i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Regional Dynamics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 America:</w:t>
      </w:r>
      <w:r w:rsidDel="00000000" w:rsidR="00000000" w:rsidRPr="00000000">
        <w:rPr>
          <w:rtl w:val="0"/>
        </w:rPr>
        <w:t xml:space="preserve"> Leads global demand (38% share), dominated by sports memorabilia and AI-grading adoption.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Europe:</w:t>
      </w:r>
      <w:r w:rsidDel="00000000" w:rsidR="00000000" w:rsidRPr="00000000">
        <w:rPr>
          <w:rtl w:val="0"/>
        </w:rPr>
        <w:t xml:space="preserve"> Largest concentration of fine art and antiques (37.43% share); leader in fractional platforms.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Asia-Pacific:</w:t>
      </w:r>
      <w:r w:rsidDel="00000000" w:rsidR="00000000" w:rsidRPr="00000000">
        <w:rPr>
          <w:rtl w:val="0"/>
        </w:rPr>
        <w:t xml:space="preserve"> Fastest-growing region (27% share), fueled by a 29.85% CAGR in digital asset transactions and a rising middle class in China and India.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qmsnxrqqjp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Demographic and Psychological Shifts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A profound demographic pivot is driving market activity. </w:t>
      </w:r>
      <w:r w:rsidDel="00000000" w:rsidR="00000000" w:rsidRPr="00000000">
        <w:rPr>
          <w:b w:val="1"/>
          <w:bCs w:val="1"/>
          <w:rtl w:val="0"/>
        </w:rPr>
        <w:t xml:space="preserve">Gen Z (94%)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Millennials (94%)</w:t>
      </w:r>
      <w:r w:rsidDel="00000000" w:rsidR="00000000" w:rsidRPr="00000000">
        <w:rPr>
          <w:rtl w:val="0"/>
        </w:rPr>
        <w:t xml:space="preserve"> express significantly higher interest in collectibles than </w:t>
      </w:r>
      <w:r w:rsidDel="00000000" w:rsidR="00000000" w:rsidRPr="00000000">
        <w:rPr>
          <w:b w:val="1"/>
          <w:bCs w:val="1"/>
          <w:rtl w:val="0"/>
        </w:rPr>
        <w:t xml:space="preserve">Baby Boomers (57%)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Wealth Transfer:</w:t>
      </w:r>
      <w:r w:rsidDel="00000000" w:rsidR="00000000" w:rsidRPr="00000000">
        <w:rPr>
          <w:rtl w:val="0"/>
        </w:rPr>
        <w:t xml:space="preserve"> Over the next 15 years, Baby Boomers are expected to transfer approximately </w:t>
      </w:r>
      <w:r w:rsidDel="00000000" w:rsidR="00000000" w:rsidRPr="00000000">
        <w:rPr>
          <w:b w:val="1"/>
          <w:bCs w:val="1"/>
          <w:rtl w:val="0"/>
        </w:rPr>
        <w:t xml:space="preserve">USD 6.3 trillion</w:t>
      </w:r>
      <w:r w:rsidDel="00000000" w:rsidR="00000000" w:rsidRPr="00000000">
        <w:rPr>
          <w:rtl w:val="0"/>
        </w:rPr>
        <w:t xml:space="preserve"> in assets to younger generations.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"Kidult" Phenomenon:</w:t>
      </w:r>
      <w:r w:rsidDel="00000000" w:rsidR="00000000" w:rsidRPr="00000000">
        <w:rPr>
          <w:rtl w:val="0"/>
        </w:rPr>
        <w:t xml:space="preserve"> Adults are increasingly turning to vintage toys from the 80s and 90s—such as Barbie and action figures—to relive childhood memories, creating a "nostalgia-led" economy.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Intent:</w:t>
      </w:r>
      <w:r w:rsidDel="00000000" w:rsidR="00000000" w:rsidRPr="00000000">
        <w:rPr>
          <w:rtl w:val="0"/>
        </w:rPr>
        <w:t xml:space="preserve"> 76% of Gen Z and 72% of Millennials identify as active collectors, viewing acquisitions as "passion investments" that integrate sentimental value with capital appreciation.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oq5zb2phy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Architecture and AI Grading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The institutionalization of the market is supported by advanced frameworks for high-frequency trading and objective authentication.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2t5xgo2qp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Neural Network Architectures for Grading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Platforms are moving from human ocular assessment (accurate to ~0.1mm) to AI systems capable of detecting defects down to </w:t>
      </w:r>
      <w:r w:rsidDel="00000000" w:rsidR="00000000" w:rsidRPr="00000000">
        <w:rPr>
          <w:b w:val="1"/>
          <w:bCs w:val="1"/>
          <w:rtl w:val="0"/>
        </w:rPr>
        <w:t xml:space="preserve">0.003mm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2.2801699996708"/>
        <w:gridCol w:w="2015.6346983823678"/>
        <w:gridCol w:w="1633.2777649655718"/>
        <w:gridCol w:w="3304.3191776760123"/>
        <w:tblGridChange w:id="0">
          <w:tblGrid>
            <w:gridCol w:w="2072.2801699996708"/>
            <w:gridCol w:w="2015.6346983823678"/>
            <w:gridCol w:w="1633.2777649655718"/>
            <w:gridCol w:w="3304.319177676012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Localized Convolutions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~0.05mm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data efficiency for localized edge detection.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Vision Transformer (ViT)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Global Self-Attention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~0.01mm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Captures long-range spatial dependencies for centering.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Swin 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Shifted Window Attention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~0.005mm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Efficient sub-millimeter full-card scans.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twcpbmu5e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Condition Metrics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Centering is measured via the ratio of horizontal (L/R) and vertical (T/B) borders: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$$C_r = \frac{B_1}{B_1 + B_2}$$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Advanced systems like AGS use a weighted algorithmic final score: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$$Grade_{final} = (Grade_{front} \times 0.6) + (Grade_{back} \times 0.4)$$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hf6j17xh4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and Chemical Fingerprinting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 Laser Scanning:</w:t>
      </w:r>
      <w:r w:rsidDel="00000000" w:rsidR="00000000" w:rsidRPr="00000000">
        <w:rPr>
          <w:rtl w:val="0"/>
        </w:rPr>
        <w:t xml:space="preserve"> AGS scanners capture 28 million pixels per card to distinguish between manufacturing flaws and physical scratches.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Isotopic Analysis:</w:t>
      </w:r>
      <w:r w:rsidDel="00000000" w:rsidR="00000000" w:rsidRPr="00000000">
        <w:rPr>
          <w:rtl w:val="0"/>
        </w:rPr>
        <w:t xml:space="preserve"> Tools like SNIF-NMR and IRMS measure carbon isotopes in wine to identify geographical origin with 99% accuracy.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Multi-Spectral Imaging (MSI):</w:t>
      </w:r>
      <w:r w:rsidDel="00000000" w:rsidR="00000000" w:rsidRPr="00000000">
        <w:rPr>
          <w:rtl w:val="0"/>
        </w:rPr>
        <w:t xml:space="preserve"> Uses UV (265nm) to IR (1700nm) wavelengths to identify "color touch-ups" and aftermarket ink signatures.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eicbz9qsy5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Platform Infrastructure and the API Economy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Modern collector platforms utilize cloud-native infrastructures (AWS, Firebase) to handle high-volume data and real-time synchronization.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Ludex Case Study:</w:t>
      </w:r>
      <w:r w:rsidDel="00000000" w:rsidR="00000000" w:rsidRPr="00000000">
        <w:rPr>
          <w:rtl w:val="0"/>
        </w:rPr>
        <w:t xml:space="preserve"> Employs an AWS-based ETL pipeline using </w:t>
      </w: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for raw data, </w:t>
      </w: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for warehousing, and </w:t>
      </w:r>
      <w:r w:rsidDel="00000000" w:rsidR="00000000" w:rsidRPr="00000000">
        <w:rPr>
          <w:b w:val="1"/>
          <w:bCs w:val="1"/>
          <w:rtl w:val="0"/>
        </w:rPr>
        <w:t xml:space="preserve">SageMaker</w:t>
      </w:r>
      <w:r w:rsidDel="00000000" w:rsidR="00000000" w:rsidRPr="00000000">
        <w:rPr>
          <w:rtl w:val="0"/>
        </w:rPr>
        <w:t xml:space="preserve"> for machine learning inference.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eBay:</w:t>
      </w:r>
      <w:r w:rsidDel="00000000" w:rsidR="00000000" w:rsidRPr="00000000">
        <w:rPr>
          <w:rtl w:val="0"/>
        </w:rPr>
        <w:t xml:space="preserve"> Provides GraphQL-based Inventory Mapping for AI-powered listing recommendations.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PSA:</w:t>
      </w:r>
      <w:r w:rsidDel="00000000" w:rsidR="00000000" w:rsidRPr="00000000">
        <w:rPr>
          <w:rtl w:val="0"/>
        </w:rPr>
        <w:t xml:space="preserve"> Offers a Public API for programmatic retrieval of certification and population data.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StockX:</w:t>
      </w:r>
      <w:r w:rsidDel="00000000" w:rsidR="00000000" w:rsidRPr="00000000">
        <w:rPr>
          <w:rtl w:val="0"/>
        </w:rPr>
        <w:t xml:space="preserve"> Employs a V2 API for real-time market data, supporting batch processing for high-volume resellers.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Workflows:</w:t>
      </w:r>
      <w:r w:rsidDel="00000000" w:rsidR="00000000" w:rsidRPr="00000000">
        <w:rPr>
          <w:rtl w:val="0"/>
        </w:rPr>
        <w:t xml:space="preserve"> AI-native IDEs like </w:t>
      </w: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are used to rapidly prototype grading pipelines and implement project-specific </w:t>
      </w:r>
      <w:r w:rsidDel="00000000" w:rsidR="00000000" w:rsidRPr="00000000">
        <w:rPr>
          <w:color w:val="188038"/>
          <w:rtl w:val="0"/>
        </w:rPr>
        <w:t xml:space="preserve">.cursorrules</w:t>
      </w:r>
      <w:r w:rsidDel="00000000" w:rsidR="00000000" w:rsidRPr="00000000">
        <w:rPr>
          <w:rtl w:val="0"/>
        </w:rPr>
        <w:t xml:space="preserve"> for architectural consistency.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ggb4ylms14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Financialization and Asset Securitization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Fractional ownership has lowered barriers to entry, transforming million-dollar assets into tradeable shares.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9.116397061246"/>
        <w:gridCol w:w="2468.798471320792"/>
        <w:gridCol w:w="1661.6005007742233"/>
        <w:gridCol w:w="3275.9964418673608"/>
        <w:tblGridChange w:id="0">
          <w:tblGrid>
            <w:gridCol w:w="1619.116397061246"/>
            <w:gridCol w:w="2468.798471320792"/>
            <w:gridCol w:w="1661.6005007742233"/>
            <w:gridCol w:w="3275.996441867360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Asset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Tech/Legal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Blue-chip Fine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USD 15,000+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AWS, Apache Airflow; SEC Reg A+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Cars, Cards, Cultural 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Under USD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RESTful API; LLC (Sub-series)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Sneakers, Comics, 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Under USD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Blockchain-enabled Secondary Markets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fuubs87jry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Structural Friction and Risks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Despite the professionalization, several "failure modes" impact the market.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Buyer’s Premium Creep:</w:t>
      </w:r>
      <w:r w:rsidDel="00000000" w:rsidR="00000000" w:rsidRPr="00000000">
        <w:rPr>
          <w:rtl w:val="0"/>
        </w:rPr>
        <w:t xml:space="preserve"> Sotheby’s adjusted premiums to </w:t>
      </w:r>
      <w:r w:rsidDel="00000000" w:rsidR="00000000" w:rsidRPr="00000000">
        <w:rPr>
          <w:b w:val="1"/>
          <w:bCs w:val="1"/>
          <w:rtl w:val="0"/>
        </w:rPr>
        <w:t xml:space="preserve">28%</w:t>
      </w:r>
      <w:r w:rsidDel="00000000" w:rsidR="00000000" w:rsidRPr="00000000">
        <w:rPr>
          <w:rtl w:val="0"/>
        </w:rPr>
        <w:t xml:space="preserve"> for lots up to $2 million in early 2026; Heritage Auctions increased fees to </w:t>
      </w:r>
      <w:r w:rsidDel="00000000" w:rsidR="00000000" w:rsidRPr="00000000">
        <w:rPr>
          <w:b w:val="1"/>
          <w:bCs w:val="1"/>
          <w:rtl w:val="0"/>
        </w:rPr>
        <w:t xml:space="preserve">22%</w:t>
      </w:r>
      <w:r w:rsidDel="00000000" w:rsidR="00000000" w:rsidRPr="00000000">
        <w:rPr>
          <w:rtl w:val="0"/>
        </w:rPr>
        <w:t xml:space="preserve"> for coins.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Liquidity Traps:</w:t>
      </w:r>
      <w:r w:rsidDel="00000000" w:rsidR="00000000" w:rsidRPr="00000000">
        <w:rPr>
          <w:rtl w:val="0"/>
        </w:rPr>
        <w:t xml:space="preserve"> Fractional platforms often restrict exits; Masterworks prevents "asks" more than 10% below the last trade, potentially propping up prices.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Interoperability:</w:t>
      </w:r>
      <w:r w:rsidDel="00000000" w:rsidR="00000000" w:rsidRPr="00000000">
        <w:rPr>
          <w:rtl w:val="0"/>
        </w:rPr>
        <w:t xml:space="preserve"> Major apps like Ludex and Collectr are criticized for "walled garden" approaches and limited data export capabilities.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Security:</w:t>
      </w:r>
      <w:r w:rsidDel="00000000" w:rsidR="00000000" w:rsidRPr="00000000">
        <w:rPr>
          <w:rtl w:val="0"/>
        </w:rPr>
        <w:t xml:space="preserve"> The "wrench attack" (physical coercion) is a rising concern for owners of portable assets like rare watches.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dpvar7lafb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Regulatory and Fiscal Landscape (2025–2026)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 "Project Crypto":</w:t>
      </w:r>
      <w:r w:rsidDel="00000000" w:rsidR="00000000" w:rsidRPr="00000000">
        <w:rPr>
          <w:rtl w:val="0"/>
        </w:rPr>
        <w:t xml:space="preserve"> Introduced in November 2025, this framework uses the </w:t>
      </w:r>
      <w:r w:rsidDel="00000000" w:rsidR="00000000" w:rsidRPr="00000000">
        <w:rPr>
          <w:b w:val="1"/>
          <w:bCs w:val="1"/>
          <w:rtl w:val="0"/>
        </w:rPr>
        <w:t xml:space="preserve">Howey Test</w:t>
      </w:r>
      <w:r w:rsidDel="00000000" w:rsidR="00000000" w:rsidRPr="00000000">
        <w:rPr>
          <w:rtl w:val="0"/>
        </w:rPr>
        <w:t xml:space="preserve"> to distinguish non-security collectibles (digital art) from high-risk securities (yield-bearing NFTs).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 MiCA:</w:t>
      </w:r>
      <w:r w:rsidDel="00000000" w:rsidR="00000000" w:rsidRPr="00000000">
        <w:rPr>
          <w:rtl w:val="0"/>
        </w:rPr>
        <w:t xml:space="preserve"> Took full effect in 2025, providing a clear framework for tokenized real-world assets across 27 countries.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Taxation (1099-DA):</w:t>
      </w:r>
      <w:r w:rsidDel="00000000" w:rsidR="00000000" w:rsidRPr="00000000">
        <w:rPr>
          <w:rtl w:val="0"/>
        </w:rPr>
        <w:t xml:space="preserve"> For the 2025 tax year, U.S. collectors must report every transaction profiting from digital assets, with physical collectibles subject to a higher </w:t>
      </w:r>
      <w:r w:rsidDel="00000000" w:rsidR="00000000" w:rsidRPr="00000000">
        <w:rPr>
          <w:b w:val="1"/>
          <w:bCs w:val="1"/>
          <w:rtl w:val="0"/>
        </w:rPr>
        <w:t xml:space="preserve">28%</w:t>
      </w:r>
      <w:r w:rsidDel="00000000" w:rsidR="00000000" w:rsidRPr="00000000">
        <w:rPr>
          <w:rtl w:val="0"/>
        </w:rPr>
        <w:t xml:space="preserve"> tax rate.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12ech2btmw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Sector Deep Dives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Sneakers:</w:t>
      </w:r>
      <w:r w:rsidDel="00000000" w:rsidR="00000000" w:rsidRPr="00000000">
        <w:rPr>
          <w:rtl w:val="0"/>
        </w:rPr>
        <w:t xml:space="preserve"> Moving toward a "Runner Aesthetic," with brands like </w:t>
      </w:r>
      <w:r w:rsidDel="00000000" w:rsidR="00000000" w:rsidRPr="00000000">
        <w:rPr>
          <w:b w:val="1"/>
          <w:bCs w:val="1"/>
          <w:rtl w:val="0"/>
        </w:rPr>
        <w:t xml:space="preserve">Mizuno (+148%)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Brooks (+1,508%)</w:t>
      </w:r>
      <w:r w:rsidDel="00000000" w:rsidR="00000000" w:rsidRPr="00000000">
        <w:rPr>
          <w:rtl w:val="0"/>
        </w:rPr>
        <w:t xml:space="preserve"> posting record-breaking growth on StockX.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Watches:</w:t>
      </w:r>
      <w:r w:rsidDel="00000000" w:rsidR="00000000" w:rsidRPr="00000000">
        <w:rPr>
          <w:rtl w:val="0"/>
        </w:rPr>
        <w:t xml:space="preserve"> Shifting from "bigger is better" tool watches to "elegance," with demand for rectangular cases up 9.3% in 2025.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Trading Cards:</w:t>
      </w:r>
      <w:r w:rsidDel="00000000" w:rsidR="00000000" w:rsidRPr="00000000">
        <w:rPr>
          <w:rtl w:val="0"/>
        </w:rPr>
        <w:t xml:space="preserve"> TCGs like Pokémon exploded by </w:t>
      </w:r>
      <w:r w:rsidDel="00000000" w:rsidR="00000000" w:rsidRPr="00000000">
        <w:rPr>
          <w:b w:val="1"/>
          <w:bCs w:val="1"/>
          <w:rtl w:val="0"/>
        </w:rPr>
        <w:t xml:space="preserve">97%</w:t>
      </w:r>
      <w:r w:rsidDel="00000000" w:rsidR="00000000" w:rsidRPr="00000000">
        <w:rPr>
          <w:rtl w:val="0"/>
        </w:rPr>
        <w:t xml:space="preserve"> in grading volume in late 2025, while sports card grading remained relatively flat.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Vintage Furniture:</w:t>
      </w:r>
      <w:r w:rsidDel="00000000" w:rsidR="00000000" w:rsidRPr="00000000">
        <w:rPr>
          <w:rtl w:val="0"/>
        </w:rPr>
        <w:t xml:space="preserve"> Projected to reach USD 150 billion by 2032, driven by Gen Z's preference for sustainability over "fast furniture".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eoengs5u78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Conclusion: The "Phygital" Future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By 2035, the collectibles market is projected to reach total transparency through the convergence of AI grading, blockchain-based provenance, and fractional liquidity. The "digital twin"—a blockchain-backed representation of a physical asset—will become the standard for 24/7 global trading, reducing risks associated with shipping and theft while cementing collectibles as a cornerstone of the 21st-century investment landscape.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Would you like me to generate a detailed comparison table between legacy grading services (PSA/BGS) and the new AI-centric platforms (TAG/AGS)?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