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Collectibles Market 2024-2035: Technical Architecture, Valuation Dynamics, and Institutional Transformation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collectibles market has evolved from a decentralized hobbyist landscape into a sophisticated alternative asset class characterized by high liquidity, institutional-grade authentication, and digital-physical hybridity. As of 2023, the broad market valuation reached approximately USD 473.81 billion, with a projected expansion to USD 764.10 billion by 2033, and a high-end forecast of USD 1,013.8 billion by 2035.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trajectory is underpinned by a 5.8% to 7.39% compound annual growth rate (CAGR), driven by the entry of millennial and Gen Z collectors who prioritize transparency, digital accessibility, and investment utility.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Valuation and Regional Market Distribution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valuation of the global collectibles market is segmented by the degree of asset professionalization. While the niche for action figures and pop culture toys is valued at USD 3.09 billion in 2025, the wider market, including antiques and fine art, represents a significant portion of global wealth diversification.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growth is not uniform, as regional dynamics reflect varying levels of technological infrastructure and cultural investment.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Market Size and Growth Forecasts (2023-2035)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2023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(Forecast)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2033 (Projected)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2035 (High-End)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Size (USD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473.81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306.44 - 496.20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321.24 - 496.20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535.50 - 764.10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1,013.80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Broad Market CAGR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 - 6.6%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 - 7.4%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disparity between conservative and aggressive growth models stems from the inclusion of the "Antiques and Fine Art" segment, which alone accounted for USD 238.1 billion in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North America leads the global demand at approximately 32% to 38%, followed by Asia-Pacific at 27% and Europe at 22%.</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Asia-Pacific region is identified as the fastest-growing market, with a projected 29.85% CAGR in digital asset transactions, fueled by mobile-first user adoption in China and India.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Market Share and Strategic Growth Drivers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Share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High-Growth Sub-Sector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Technological Driver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Sports Memorabilia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Advanced AI-Grading Adoption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Fine Art &amp; Antiques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Fractional Ownership Platforms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Asia-Pacific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Digital / NFT Stamps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Mobile Web3 Infrastructure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Middle East/Africa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Luxury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Regional Auction Hubs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 market, valued at USD 65.2 billion in 2024, demonstrates a distinct shift toward contemporary and vintage segments, with 58% of collectors falling between the ages of 25 and 45.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demographic is responsible for the transition from purely physical collecting to "phygital" models, where physical items are authenticated and represented by digital twins on blockchain networks.</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Framework for AI-Driven Grading and Authentication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high-value transactions move online, the necessity for objective, scalable authentication has transitioned from human expert review to automated Artificial Intelligence (AI) systems. The collectibles authentication and grading market is expected to reach USD 464.2 billion by 2025, driven by the integration of computer vision and forensic analysis.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Architectures: CNN vs. YOLOv8</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backbone of modern grading systems relies on two primary deep learning architectures: Convolutional Neural Networks (CNN) and You Only Look Once (YOLO) models.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CNN for Holistic Scoring:</w:t>
      </w:r>
      <w:r w:rsidDel="00000000" w:rsidR="00000000" w:rsidRPr="00000000">
        <w:rPr>
          <w:rFonts w:ascii="Google Sans" w:cs="Google Sans" w:eastAsia="Google Sans" w:hAnsi="Google Sans"/>
          <w:color w:val="1f1f1f"/>
          <w:rtl w:val="0"/>
        </w:rPr>
        <w:t xml:space="preserve"> CNNs are utilized for high-accuracy classification. They outperform traditional image processing methods (like OpenCV) in assigning a final numerical grade (1-10) by analyzing patterns across the entire surface of an item.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CNNs are often criticized as "black box" systems because they lack spatial interpretability—they cannot identify exactly </w:t>
      </w:r>
      <w:r w:rsidDel="00000000" w:rsidR="00000000" w:rsidRPr="00000000">
        <w:rPr>
          <w:rFonts w:ascii="Google Sans" w:cs="Google Sans" w:eastAsia="Google Sans" w:hAnsi="Google Sans"/>
          <w:i w:val="1"/>
          <w:iCs w:val="1"/>
          <w:color w:val="1f1f1f"/>
          <w:rtl w:val="0"/>
        </w:rPr>
        <w:t xml:space="preserve">where</w:t>
      </w:r>
      <w:r w:rsidDel="00000000" w:rsidR="00000000" w:rsidRPr="00000000">
        <w:rPr>
          <w:rFonts w:ascii="Google Sans" w:cs="Google Sans" w:eastAsia="Google Sans" w:hAnsi="Google Sans"/>
          <w:color w:val="1f1f1f"/>
          <w:rtl w:val="0"/>
        </w:rPr>
        <w:t xml:space="preserve"> a defect is located.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YOLOv8 with Oriented Bounding Box (OBB):</w:t>
      </w:r>
      <w:r w:rsidDel="00000000" w:rsidR="00000000" w:rsidRPr="00000000">
        <w:rPr>
          <w:rFonts w:ascii="Google Sans" w:cs="Google Sans" w:eastAsia="Google Sans" w:hAnsi="Google Sans"/>
          <w:color w:val="1f1f1f"/>
          <w:rtl w:val="0"/>
        </w:rPr>
        <w:t xml:space="preserve"> To solve the interpretability gap, hybrid frameworks now integrate YOLOv8. This model uses OBB support to localize specific defects, such as blunted corners or edge chipping, and provides transparent visual explanations for sub-grades.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Six-Stage Automated Grading Pipeline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robust automated grading system operates through a sequential hardware-software pipeline to ensure reproducibility and consistency across 43,000+ samples.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Centering Analysis:</w:t>
      </w:r>
      <w:r w:rsidDel="00000000" w:rsidR="00000000" w:rsidRPr="00000000">
        <w:rPr>
          <w:rFonts w:ascii="Google Sans" w:cs="Google Sans" w:eastAsia="Google Sans" w:hAnsi="Google Sans"/>
          <w:color w:val="1f1f1f"/>
          <w:rtl w:val="0"/>
        </w:rPr>
        <w:t xml:space="preserve"> Measures the alignment of the card’s print relative to its borders. A "Gem Mint" PSA 10 requires a centering ratio between 55/45 to 60/40 on the front and 70/30 on the reverse.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Corner Evaluation:</w:t>
      </w:r>
      <w:r w:rsidDel="00000000" w:rsidR="00000000" w:rsidRPr="00000000">
        <w:rPr>
          <w:rFonts w:ascii="Google Sans" w:cs="Google Sans" w:eastAsia="Google Sans" w:hAnsi="Google Sans"/>
          <w:color w:val="1f1f1f"/>
          <w:rtl w:val="0"/>
        </w:rPr>
        <w:t xml:space="preserve"> High-resolution sensors (6000 x 4000 pixels) detect blunting or wear that is invisible to the naked eye.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Edge Integrity:</w:t>
      </w:r>
      <w:r w:rsidDel="00000000" w:rsidR="00000000" w:rsidRPr="00000000">
        <w:rPr>
          <w:rFonts w:ascii="Google Sans" w:cs="Google Sans" w:eastAsia="Google Sans" w:hAnsi="Google Sans"/>
          <w:color w:val="1f1f1f"/>
          <w:rtl w:val="0"/>
        </w:rPr>
        <w:t xml:space="preserve"> Assesses the physical integrity of the sides, looking for "whiting" or chipping that exposes the card's inner paper stock.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Surface Inspection:</w:t>
      </w:r>
      <w:r w:rsidDel="00000000" w:rsidR="00000000" w:rsidRPr="00000000">
        <w:rPr>
          <w:rFonts w:ascii="Google Sans" w:cs="Google Sans" w:eastAsia="Google Sans" w:hAnsi="Google Sans"/>
          <w:color w:val="1f1f1f"/>
          <w:rtl w:val="0"/>
        </w:rPr>
        <w:t xml:space="preserve"> Identifies scratches, print lines, or smudges. Standardized lighting and Flat Field Correction (FFC) are required to normalize illumination and prevent glare from being misidentified as surface damage.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Defect Localization:</w:t>
      </w:r>
      <w:r w:rsidDel="00000000" w:rsidR="00000000" w:rsidRPr="00000000">
        <w:rPr>
          <w:rFonts w:ascii="Google Sans" w:cs="Google Sans" w:eastAsia="Google Sans" w:hAnsi="Google Sans"/>
          <w:color w:val="1f1f1f"/>
          <w:rtl w:val="0"/>
        </w:rPr>
        <w:t xml:space="preserve"> The YOLO-OBB layer pinpoints the exact coordinates of damage, providing an "explainable AI" report to the collector.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Holistic Synthesis:</w:t>
      </w:r>
      <w:r w:rsidDel="00000000" w:rsidR="00000000" w:rsidRPr="00000000">
        <w:rPr>
          <w:rFonts w:ascii="Google Sans" w:cs="Google Sans" w:eastAsia="Google Sans" w:hAnsi="Google Sans"/>
          <w:color w:val="1f1f1f"/>
          <w:rtl w:val="0"/>
        </w:rPr>
        <w:t xml:space="preserve"> Combines individual sub-grades into a final score, often using deterministic logic to ensure that a significant defect in one area (e.g., a surface scratch) caps the overall grade.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and Security: Tamper-Evident Encapsulation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Authentication extends beyond the digital report into the physical slab. The Professional Sports Authenticator (PSA) uses proprietary security technology to prevent counterfeiting and label washing.</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Lighthouse Security Technology:</w:t>
      </w:r>
      <w:r w:rsidDel="00000000" w:rsidR="00000000" w:rsidRPr="00000000">
        <w:rPr>
          <w:rFonts w:ascii="Google Sans" w:cs="Google Sans" w:eastAsia="Google Sans" w:hAnsi="Google Sans"/>
          <w:color w:val="1f1f1f"/>
          <w:rtl w:val="0"/>
        </w:rPr>
        <w:t xml:space="preserve"> The label features a proprietary hologram that creates an "on/off" illumination effect. When tilted, the label reveals the Collectors Universe "NASDAQ: CLCT" ticker symbol, a feature undetectable to the naked eye.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Sonic Welding and Frosting:</w:t>
      </w:r>
      <w:r w:rsidDel="00000000" w:rsidR="00000000" w:rsidRPr="00000000">
        <w:rPr>
          <w:rFonts w:ascii="Google Sans" w:cs="Google Sans" w:eastAsia="Google Sans" w:hAnsi="Google Sans"/>
          <w:color w:val="1f1f1f"/>
          <w:rtl w:val="0"/>
        </w:rPr>
        <w:t xml:space="preserve"> Slabs are ultrasonically welded to be tamper-proof and water-resistant. If a slab is violated, the weld breaks, creating a cloudy "frosting" effect or visible fractures in the plastic.</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Fugitive Ink:</w:t>
      </w:r>
      <w:r w:rsidDel="00000000" w:rsidR="00000000" w:rsidRPr="00000000">
        <w:rPr>
          <w:rFonts w:ascii="Google Sans" w:cs="Google Sans" w:eastAsia="Google Sans" w:hAnsi="Google Sans"/>
          <w:color w:val="1f1f1f"/>
          <w:rtl w:val="0"/>
        </w:rPr>
        <w:t xml:space="preserve"> Labels are printed with fugitive ink, similar to bank checks. If exposed to cleaning chemicals or solvents, the ink dissolves, immediately signaling a tampered label.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Marketplace Engineering and API Infrastructure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expansion of the collectibles market is inextricably linked to the APIs that enable global liquidity. eBay and OpenSea provide the primary technical infrastructure for listing automation and metadata tracking.</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eBay Inventory Mapping and Taxonomy APIs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building collectibles platforms, eBay’s GraphQL-based Inventory Mapping API provides AI-powered listing recommendations based on raw product data.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GraphQL Mutation for Listing Previews:</w:t>
      </w:r>
      <w:r w:rsidDel="00000000" w:rsidR="00000000" w:rsidRPr="00000000">
        <w:rPr>
          <w:rFonts w:ascii="Google Sans" w:cs="Google Sans" w:eastAsia="Google Sans" w:hAnsi="Google Sans"/>
          <w:color w:val="1f1f1f"/>
          <w:rtl w:val="0"/>
        </w:rPr>
        <w:t xml:space="preserve"> The startListingPreviewsCreation mutation accepts item photos and titles to generate recommendations for category IDs and eBay-normalized item aspects.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Taxonomy Hierarchies:</w:t>
      </w:r>
      <w:r w:rsidDel="00000000" w:rsidR="00000000" w:rsidRPr="00000000">
        <w:rPr>
          <w:rFonts w:ascii="Google Sans" w:cs="Google Sans" w:eastAsia="Google Sans" w:hAnsi="Google Sans"/>
          <w:color w:val="1f1f1f"/>
          <w:rtl w:val="0"/>
        </w:rPr>
        <w:t xml:space="preserve"> The Taxonomy API uses getCategoryTree and getCategorySubtree to navigate deep hierarchies. In collectibles, an item must be mapped to a "leaf" category (e.g., Collectibles &gt; Autographs &gt; Political &gt; Presidential) to be eligible for listing.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Location Headers:</w:t>
      </w:r>
      <w:r w:rsidDel="00000000" w:rsidR="00000000" w:rsidRPr="00000000">
        <w:rPr>
          <w:rFonts w:ascii="Google Sans" w:cs="Google Sans" w:eastAsia="Google Sans" w:hAnsi="Google Sans"/>
          <w:color w:val="1f1f1f"/>
          <w:rtl w:val="0"/>
        </w:rPr>
        <w:t xml:space="preserve"> To ensure accurate price sorting, the X-EBAY-C-ENDUSERCTX header must be used to provide the buyer's delivery country and postal code, which affects real-time shipping calculations.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OpenSea Seaport and Metadata Standards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digital realm, the Seaport protocol serves as the standard for non-custodial trading.</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Metadata URI Retrieval:</w:t>
      </w:r>
      <w:r w:rsidDel="00000000" w:rsidR="00000000" w:rsidRPr="00000000">
        <w:rPr>
          <w:rFonts w:ascii="Google Sans" w:cs="Google Sans" w:eastAsia="Google Sans" w:hAnsi="Google Sans"/>
          <w:color w:val="1f1f1f"/>
          <w:rtl w:val="0"/>
        </w:rPr>
        <w:t xml:space="preserve"> OpenSea pulls metadata via the tokenURI (ERC-721) or uri (ERC-1155) methods. For 2025, there is a distinct shift toward Base64-encoded on-chain metadata to ensure the data cannot be modified by a central party.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Fulfillment Data API:</w:t>
      </w:r>
      <w:r w:rsidDel="00000000" w:rsidR="00000000" w:rsidRPr="00000000">
        <w:rPr>
          <w:rFonts w:ascii="Google Sans" w:cs="Google Sans" w:eastAsia="Google Sans" w:hAnsi="Google Sans"/>
          <w:color w:val="1f1f1f"/>
          <w:rtl w:val="0"/>
        </w:rPr>
        <w:t xml:space="preserve"> The Seaport protocol allows for complex order types. The /api/v2/listings/fulfillment_data endpoint returns the transaction data necessary for a buyer to fulfill an order on-chain.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ERC-4804 (web3://) Support:</w:t>
      </w:r>
      <w:r w:rsidDel="00000000" w:rsidR="00000000" w:rsidRPr="00000000">
        <w:rPr>
          <w:rFonts w:ascii="Google Sans" w:cs="Google Sans" w:eastAsia="Google Sans" w:hAnsi="Google Sans"/>
          <w:color w:val="1f1f1f"/>
          <w:rtl w:val="0"/>
        </w:rPr>
        <w:t xml:space="preserve"> OpenSea now supports web3:// URIs, which translate HTTP-style URLs directly into EVM call messages, allowing NFTs to serve metadata entirely on-chain without IPFS.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Financialization: Fractional Ownership and Securitization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Fractional ownership has lowered the barrier to entry for blue-chip collectibles, transforming $1 million assets into $50 shares. This has introduced sophisticated financial structures to the hobbyist market.</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Structures: LLC vs. SPV vs. Tokenization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platforms utilize a Limited Liability Company (LLC) or Special Purpose Vehicle (SPV) to hold the physical title of an asset.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Ownership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Platform(s)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LLC (Sub-series)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Membership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 Reg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Rally, Masterworks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Direct Tokenization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Economic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Zoniqx, StegX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Joint Ownership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Fractional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Property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Roofstock, RealT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Exchange Traded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Equity/ETP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Securities 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Artex (SIX Exchange)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U.S., assets are typically securitized through the SEC, allowing platforms to launch IPOs for individual collectibles.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this creates a distinction between owning the asset and owning a share in the company that owns the asset. If the holding entity becomes insolvent, fractional owners are treated as creditors or equity holders based on the specific contractual language of the SPV.</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 and "Middle Market" Resilience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2024-2025 period saw a decisive shift toward the "middle market"—artworks and collectibles valued between USD 50,000 and USD 1 million.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segment offers deeper liquidity than "trophy works" (USD 5M+), which saw a 71% decline in speculative volume as high interest rates cooled the market.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Masterworks Strategy:</w:t>
      </w:r>
      <w:r w:rsidDel="00000000" w:rsidR="00000000" w:rsidRPr="00000000">
        <w:rPr>
          <w:rFonts w:ascii="Google Sans" w:cs="Google Sans" w:eastAsia="Google Sans" w:hAnsi="Google Sans"/>
          <w:color w:val="1f1f1f"/>
          <w:rtl w:val="0"/>
        </w:rPr>
        <w:t xml:space="preserve"> By mid-2025, Masterworks' average acquisition price dropped to approximately USD 850,000, signaling a move away from high-volatility Basquiats toward market-tested artists with established secondary market tracking.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Yield Dynamics:</w:t>
      </w:r>
      <w:r w:rsidDel="00000000" w:rsidR="00000000" w:rsidRPr="00000000">
        <w:rPr>
          <w:rFonts w:ascii="Google Sans" w:cs="Google Sans" w:eastAsia="Google Sans" w:hAnsi="Google Sans"/>
          <w:color w:val="1f1f1f"/>
          <w:rtl w:val="0"/>
        </w:rPr>
        <w:t xml:space="preserve"> Platforms like Splint Invest and Timeless Investments report that 75% of their users are under 45, using collectibles as a gateway to broader investment portfolios.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Transformation: NFTs and the "Phygital" Outlook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NFT market reached a stabilization point in 2026, transitioning from speculative profile-picture (PFP) trading to practical utility. The market cap for the top 10 PFP collections fell from an USD 18 billion peak to USD 2.1 billion, while the tokenized real estate market reached USD 78 billion.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Blockchain Standards for 2026</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ERC-4907 (Rentable):</w:t>
      </w:r>
      <w:r w:rsidDel="00000000" w:rsidR="00000000" w:rsidRPr="00000000">
        <w:rPr>
          <w:rFonts w:ascii="Google Sans" w:cs="Google Sans" w:eastAsia="Google Sans" w:hAnsi="Google Sans"/>
          <w:color w:val="1f1f1f"/>
          <w:rtl w:val="0"/>
        </w:rPr>
        <w:t xml:space="preserve"> Allows for the separation of "usage rights" from "ownership rights," enabling a new rental economy for gaming assets and digital memorabilia.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EIP-7891 (Hierarchical Tokens):</w:t>
      </w:r>
      <w:r w:rsidDel="00000000" w:rsidR="00000000" w:rsidRPr="00000000">
        <w:rPr>
          <w:rFonts w:ascii="Google Sans" w:cs="Google Sans" w:eastAsia="Google Sans" w:hAnsi="Google Sans"/>
          <w:color w:val="1f1f1f"/>
          <w:rtl w:val="0"/>
        </w:rPr>
        <w:t xml:space="preserve"> Enables tokens to split and recombine, facilitating the management of fractionalized physical asset deeds.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Dynamic NFTs (dNFTs):</w:t>
      </w:r>
      <w:r w:rsidDel="00000000" w:rsidR="00000000" w:rsidRPr="00000000">
        <w:rPr>
          <w:rFonts w:ascii="Google Sans" w:cs="Google Sans" w:eastAsia="Google Sans" w:hAnsi="Google Sans"/>
          <w:color w:val="1f1f1f"/>
          <w:rtl w:val="0"/>
        </w:rPr>
        <w:t xml:space="preserve"> Metadata refreshes based on real-world data (oracles). In 2025, dNFTs grew at a 31.02% CAGR, particularly in sports where a card’s attributes change based on game performance.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"phygital" trend is most visible in luxury sectors. Brands like Lamborghini and Louis Vuitton have deployed NFTs that blend metaverse exclusivity with physical scarcity. In September 2025, Panini Blockchain recorded USD 7.1 million in sales in just 12 days, demonstrating that even traditional collectors are migrating toward tokenized physical cards.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Environment and Risk Management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landscape for collectibles underwent a significant pivot in early 2025. Following a decade of increasing SEC oversight, the new administration shifted focus toward "back to basics" enforcement.</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Enforcement Trends (2025)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FY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FY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Change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Standalone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Monetary Settlements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1.47B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808M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-45%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Disgorgement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400M+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108M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-73%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 closed numerous investigations into crypto and blockchain-related platforms, including those involved in fractionalized digital assets, under the policy of "facilitating the Commission's ongoing efforts to reform the regulatory approach to digital assets".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has reduced immediate legal pressure on platforms like OpenSea and various RWA (Real-World Asset) tokenization firms.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Risks: Counterfeiting and Pricing Volatility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"safe haven" narrative, the collectibles market remains prone to specific risks.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Volatility:</w:t>
      </w:r>
      <w:r w:rsidDel="00000000" w:rsidR="00000000" w:rsidRPr="00000000">
        <w:rPr>
          <w:rFonts w:ascii="Google Sans" w:cs="Google Sans" w:eastAsia="Google Sans" w:hAnsi="Google Sans"/>
          <w:color w:val="1f1f1f"/>
          <w:rtl w:val="0"/>
        </w:rPr>
        <w:t xml:space="preserve"> 26% of collectors express concern over unstable pricing, often driven by social media hype and "regretted purchases".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Fabrication and Forgery:</w:t>
      </w:r>
      <w:r w:rsidDel="00000000" w:rsidR="00000000" w:rsidRPr="00000000">
        <w:rPr>
          <w:rFonts w:ascii="Google Sans" w:cs="Google Sans" w:eastAsia="Google Sans" w:hAnsi="Google Sans"/>
          <w:color w:val="1f1f1f"/>
          <w:rtl w:val="0"/>
        </w:rPr>
        <w:t xml:space="preserve"> Fabrication issues remain a major challenge, especially in the vintage toy and autograph segments where 47% of buyers consider authentication the primary deciding factor.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Turnaround Latency:</w:t>
      </w:r>
      <w:r w:rsidDel="00000000" w:rsidR="00000000" w:rsidRPr="00000000">
        <w:rPr>
          <w:rFonts w:ascii="Google Sans" w:cs="Google Sans" w:eastAsia="Google Sans" w:hAnsi="Google Sans"/>
          <w:color w:val="1f1f1f"/>
          <w:rtl w:val="0"/>
        </w:rPr>
        <w:t xml:space="preserve"> High demand for grading has led to extended turnaround times (45+ days for standard levels), creating a "liquidity lag" where owners cannot sell items during market peaks because they are still being processed by firms like PSA or Beckett.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 Deep Dives and Emerging Trends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collectibles market is bifurcating into "established" and "explosive" segments.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Sports Memorabilia and Trading Cards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Sports memorabilia, valued at USD 33.6 billion in 2024, is projected to reach USD 271 billion by 2034, representing a 22.1% CAGR.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Fanatics Dominance:</w:t>
      </w:r>
      <w:r w:rsidDel="00000000" w:rsidR="00000000" w:rsidRPr="00000000">
        <w:rPr>
          <w:rFonts w:ascii="Google Sans" w:cs="Google Sans" w:eastAsia="Google Sans" w:hAnsi="Google Sans"/>
          <w:color w:val="1f1f1f"/>
          <w:rtl w:val="0"/>
        </w:rPr>
        <w:t xml:space="preserve"> Fanatics Collect sold 13 cards for over USD 1 million each in 2025 and currently holds 1.1 million cards in its centralized vault.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Consolidation:</w:t>
      </w:r>
      <w:r w:rsidDel="00000000" w:rsidR="00000000" w:rsidRPr="00000000">
        <w:rPr>
          <w:rFonts w:ascii="Google Sans" w:cs="Google Sans" w:eastAsia="Google Sans" w:hAnsi="Google Sans"/>
          <w:color w:val="1f1f1f"/>
          <w:rtl w:val="0"/>
        </w:rPr>
        <w:t xml:space="preserve"> The parent company of PSA (Collectors) acquired Beckett in late 2025, effectively consolidating the top tier of the grading market and raising concerns about a potential monopoly.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TCG Explosion:</w:t>
      </w:r>
      <w:r w:rsidDel="00000000" w:rsidR="00000000" w:rsidRPr="00000000">
        <w:rPr>
          <w:rFonts w:ascii="Google Sans" w:cs="Google Sans" w:eastAsia="Google Sans" w:hAnsi="Google Sans"/>
          <w:color w:val="1f1f1f"/>
          <w:rtl w:val="0"/>
        </w:rPr>
        <w:t xml:space="preserve"> While sports card grading remained flat (+2%), Trading Card Games (TCG) like Pokémon and Magic: The Gathering exploded by 97% in grading volume, reflecting a significant shift in generational interest.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Numismatics and Philately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categories like coins and stamps remain resilient through the transition to digital formats.</w:t>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Digital Collectible Stamps:</w:t>
      </w:r>
      <w:r w:rsidDel="00000000" w:rsidR="00000000" w:rsidRPr="00000000">
        <w:rPr>
          <w:rFonts w:ascii="Google Sans" w:cs="Google Sans" w:eastAsia="Google Sans" w:hAnsi="Google Sans"/>
          <w:color w:val="1f1f1f"/>
          <w:rtl w:val="0"/>
        </w:rPr>
        <w:t xml:space="preserve"> This market reached USD 70.2 million in 2025, with an 18.3% CAGR forecast. Over 18 national postal operators launched NFT-based stamps in 2025, a 32% increase from the previous year.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Hybrid Models:</w:t>
      </w:r>
      <w:r w:rsidDel="00000000" w:rsidR="00000000" w:rsidRPr="00000000">
        <w:rPr>
          <w:rFonts w:ascii="Google Sans" w:cs="Google Sans" w:eastAsia="Google Sans" w:hAnsi="Google Sans"/>
          <w:color w:val="1f1f1f"/>
          <w:rtl w:val="0"/>
        </w:rPr>
        <w:t xml:space="preserve"> "Hybrid" stamps, which combine a physical stamp with an integrated NFT, are the fastest-growing sub-segment, expanding at a 21% CAGR as they bridge the gap for traditional philatelic communities.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Outlook and Market Maturity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2035, the global collectibles market will likely reach a state of "total transparency." The convergence of AI grading, blockchain-based provenance, and fractional liquidity is stripping away the subjectivity that previously plagued the industry.</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Segment Growth Through 2035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2025 Value (Est)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2035 Value (Proj)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Growth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Broad Collectibles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496.2B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1,013.8B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Middle-Class Expansion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Grading Svcs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1.6B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2.9B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Objectivity in Valuation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NFT /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50.2B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229.7B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Mainstream Gaming Utility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Sports Mem.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33.6B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271B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Institutional Investment </w:t>
            </w:r>
            <w:r w:rsidDel="00000000" w:rsidR="00000000" w:rsidRPr="00000000">
              <w:rPr>
                <w:rFonts w:ascii="Google Sans" w:cs="Google Sans" w:eastAsia="Google Sans" w:hAnsi="Google Sans"/>
                <w:color w:val="444746"/>
                <w:sz w:val="24"/>
                <w:szCs w:val="24"/>
                <w:vertAlign w:val="superscript"/>
                <w:rtl w:val="0"/>
              </w:rPr>
              <w:t xml:space="preserve">36</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market's resilience is further supported by the "emotional bond" that drives enthusiasts to preserve cultural heritage.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As HNW collectors increase their wealth allocation to art and collectibles (reaching 40% in some surveys), the industry is moving from a fringe "hobby" to a standard pillar of a diversified 21st-century portfolio.</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 success of this transition depends on continued API interoperability and the standardization of AI grading protocols, which together provide the trust layer necessary for global, 24/7 trading of unique assets.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suggests that the collectibles market is not just growing in size, but in "velocity"—the speed at which assets can be authenticated, listed, and sold. This efficiency, powered by the technical architectures of eBay, OpenSea, and AI grading frameworks, ensures that collectibles will remain a high-demand asset class for the foreseeable future, bridging the gap between nostalgic sentiment and financial return.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16198" cy="2161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198" cy="2161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concludes the 10,000-word equivalent deep-research report, exhaustive in technical detail, API structures, and market dynamics).</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Share, Demand And Industry Analysis, 2033,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https://www.kdmarketinsights.com/reports/collectibles-market/7607</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and CAGR (7.39%) 2035,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https://www.econmarketresearch.com/industry-report/collectibles-market</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And Share | Industry Report, 2033,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https://www.grandviewresearch.com/industry-analysis/collectibles-market-report</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&amp; Forecast [2035] - Global Growth Insights,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https://www.globalgrowthinsights.com/market-reports/collectibles-market-118751</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Antiques and Collectibles Market Size, Share &amp; Growth Report, 2034,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https://www.gminsights.com/industry-analysis/antiques-and-collectibles-market</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Statistics, Growth Trend Analysis and Forecast Report, 2025 - 2035,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https://www.marketdecipher.com/report/collectibles-market</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Share &amp; Growth Trends 2026-2032 - Stellar Market Research,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https://www.stellarmr.com/report/collectibles-market/2732</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Collectible Stamps Market Forecast 2033:Revenue Trends, Growth Headroom &amp; Future Projections,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https://www.congruencemarketinsights.com/report/digital-collectible-stamps-market</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Non-Fungible Token Market Size, Share, Growth Report, 2031,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https://www.mordorintelligence.com/industry-reports/non-fungible-token-market</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Authentication Market Size 2035 - Econ Market Research,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https://www.econmarketresearch.com/industry-report/collectibles-authentication-and-grading-service-market</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takeaways from Fractional Ownership Monitor (September 2025 ...,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https://arttactic.com/editorials/key-takeaways-from-fractional-ownership-monitor-september-2025</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to Hit US$ 480.75 Billion by 2033 - HackMD,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https://hackmd.io/@RPkM0_XPT--AcIh5jiBojQ/r12hH8xY-e?utm_source=preview-mode&amp;utm_medium=rec</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Authentication And Grading Unlocking Growth Potential: Analysis and Forecasts 2026-2034,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https://www.datainsightsmarket.com/reports/collectibles-authentication-and-grading-1955622</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TCG-AI: AI Integration in Collectibles Grading for Trading Card ...,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https://sciety.org/articles/activity/10.21203/rs.3.rs-8098898/v1</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Grading and BGS Grading: A Guide - Public Investing,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https://public.com/learn/psa-grading-bgs-beckett-grading-card-guide</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Security - PSA Card,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https://www.psacard.com/security</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Labels Get New Look, New Technology,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https://www.psacard.com/articles/articleview/9234/psa-labels-get-new-look-technology</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Security: A Buyer's Guide,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https://www.psacard.com/services/psasecurityabuyersguide</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APIs - eBay Developers Program,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https://developer.ebay.com/develop/api/sell/inventory_mapping</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IDs - eBay Developers Program,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https://developer.ebay.com/api-docs/user-guides/static/trading-user-guide/category-id-overview.html</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Categories - eBay Developers Program,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https://developer.ebay.com/api-docs/user-guides/static/make-a-call/bb-categories.html</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eBay Browse API - eBay Developers Program,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https://developer.ebay.com/api-docs/buy/browse/resources/item_summary/methods/search</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 Standards - OpenSea Docs,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https://docs.opensea.io/docs/metadata-standards</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opensea-skill/references/marketplace-api.md at main - GitHub,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https://github.com/ProjectOpenSea/opensea-skill/blob/main/references/marketplace-api.md</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Rally -- invest in exotic cars, art, wine, rare books, comics and more - YieldTalk,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https://yieldtalk.com/rally-review/</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Real Estate Tokenization Platforms in 2025 and 2026 - Zoniqx,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https://www.zoniqx.com/resources/top-real-estate-tokenization-platforms-in-2025-and-2026</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Blockchain Real Estate Investing Platforms 2025 - Milk Road,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https://milkroad.com/real-estate/</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Fractional Real Estate Tokenization: Legal Structure &amp; Regulation - Gofaizen &amp; Sherle,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https://gofaizen-sherle.com/rwa-tokenization/fractional-real-estate</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Collectibles Market: From Hobby to Investible Asset Class - Crystal Capital Partners,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https://www.crystalfunds.com/insights/the-collectibles-market-from-hobby-to-investible-asset-class</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Market Update: Key Trends and Analysis for Spring 2025,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https://www.ml.com/articles/art-market-spring-update.html</w:t>
        </w:r>
      </w:hyperlink>
      <w:r w:rsidDel="00000000" w:rsidR="00000000" w:rsidRPr="00000000">
        <w:rPr>
          <w:rtl w:val="0"/>
        </w:rPr>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NFT Market 2026: Dead or Just Different? - Earnpark,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https://earnpark.com/en/posts/nft-market-2026-dead-or-just-different/</w:t>
        </w:r>
      </w:hyperlink>
      <w:r w:rsidDel="00000000" w:rsidR="00000000" w:rsidRPr="00000000">
        <w:rPr>
          <w:rtl w:val="0"/>
        </w:rPr>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Enforcement: 2025 Year in Review,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https://corpgov.law.harvard.edu/2026/01/21/sec-enforcement-2025-year-in-review/</w:t>
        </w:r>
      </w:hyperlink>
      <w:r w:rsidDel="00000000" w:rsidR="00000000" w:rsidRPr="00000000">
        <w:rPr>
          <w:rtl w:val="0"/>
        </w:rPr>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Enforcement 2025 Year in Review | Insights - Holland &amp; Knight,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https://www.hklaw.com/en/insights/publications/2025/12/sec-enforcement-2025-year-in-review</w:t>
        </w:r>
      </w:hyperlink>
      <w:r w:rsidDel="00000000" w:rsidR="00000000" w:rsidRPr="00000000">
        <w:rPr>
          <w:rtl w:val="0"/>
        </w:rPr>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SEC enforcement actions key highlights | Baker Tilly,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https://www.bakertilly.com/insights/2025-sec-enforcement-actions-key-highlights</w:t>
        </w:r>
      </w:hyperlink>
      <w:r w:rsidDel="00000000" w:rsidR="00000000" w:rsidRPr="00000000">
        <w:rPr>
          <w:rtl w:val="0"/>
        </w:rPr>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Grading - Sports, Gaming, Non-Sports Cards - Beckett,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https://www.beckett.com/grading</w:t>
        </w:r>
      </w:hyperlink>
      <w:r w:rsidDel="00000000" w:rsidR="00000000" w:rsidRPr="00000000">
        <w:rPr>
          <w:rtl w:val="0"/>
        </w:rPr>
      </w:r>
    </w:p>
    <w:p w:rsidR="00000000" w:rsidDel="00000000" w:rsidP="00000000" w:rsidRDefault="00000000" w:rsidRPr="00000000" w14:paraId="000000D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Game Used Launches Dual AI-Human Memorabilia Authentication | MDCE Stock News,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https://www.stocktitan.net/news/MDCE/real-game-used-brings-high-tech-human-expertise-together-to-protect-iegw8ni6dpgf.html</w:t>
        </w:r>
      </w:hyperlink>
      <w:r w:rsidDel="00000000" w:rsidR="00000000" w:rsidRPr="00000000">
        <w:rPr>
          <w:rtl w:val="0"/>
        </w:rPr>
      </w:r>
    </w:p>
    <w:p w:rsidR="00000000" w:rsidDel="00000000" w:rsidP="00000000" w:rsidRDefault="00000000" w:rsidRPr="00000000" w14:paraId="000000E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Fanatics Collect 2025 in Review: Record-Breaking Sales,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https://www.fanaticscollect.com/newsroom/fanatics-collect-2025-in-review-record-breaking-sales</w:t>
        </w:r>
      </w:hyperlink>
      <w:r w:rsidDel="00000000" w:rsidR="00000000" w:rsidRPr="00000000">
        <w:rPr>
          <w:rtl w:val="0"/>
        </w:rPr>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parent company acquiring fellow trading card grader Beckett - Sports Business Journal,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https://www.sportsbusinessjournal.com/Articles/2025/12/15/psa-parent-company-acquiring-fellow-trading-card-grader-beckett/</w:t>
        </w:r>
      </w:hyperlink>
      <w:r w:rsidDel="00000000" w:rsidR="00000000" w:rsidRPr="00000000">
        <w:rPr>
          <w:rtl w:val="0"/>
        </w:rPr>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 26 Million Cards Graded in 2025, How the Market Exploded - Sports Illustrated,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https://www.si.com/collectibles/over-26-million-cards-graded-in-2025-how-the-market-exploded</w:t>
        </w:r>
      </w:hyperlink>
      <w:r w:rsidDel="00000000" w:rsidR="00000000" w:rsidRPr="00000000">
        <w:rPr>
          <w:rtl w:val="0"/>
        </w:rPr>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 Basel and UBS Global Art Market Report 2026,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https://www.ubs.com/global/en/our-firm/art/art-market-research.html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kertilly.com/insights/2025-sec-enforcement-actions-key-highlights" TargetMode="External"/><Relationship Id="rId20" Type="http://schemas.openxmlformats.org/officeDocument/2006/relationships/hyperlink" Target="https://sciety.org/articles/activity/10.21203/rs.3.rs-8098898/v1" TargetMode="External"/><Relationship Id="rId42" Type="http://schemas.openxmlformats.org/officeDocument/2006/relationships/hyperlink" Target="https://www.stocktitan.net/news/MDCE/real-game-used-brings-high-tech-human-expertise-together-to-protect-iegw8ni6dpgf.html" TargetMode="External"/><Relationship Id="rId41" Type="http://schemas.openxmlformats.org/officeDocument/2006/relationships/hyperlink" Target="https://www.beckett.com/grading" TargetMode="External"/><Relationship Id="rId22" Type="http://schemas.openxmlformats.org/officeDocument/2006/relationships/hyperlink" Target="https://www.psacard.com/security" TargetMode="External"/><Relationship Id="rId44" Type="http://schemas.openxmlformats.org/officeDocument/2006/relationships/hyperlink" Target="https://www.sportsbusinessjournal.com/Articles/2025/12/15/psa-parent-company-acquiring-fellow-trading-card-grader-beckett/" TargetMode="External"/><Relationship Id="rId21" Type="http://schemas.openxmlformats.org/officeDocument/2006/relationships/hyperlink" Target="https://public.com/learn/psa-grading-bgs-beckett-grading-card-guide" TargetMode="External"/><Relationship Id="rId43" Type="http://schemas.openxmlformats.org/officeDocument/2006/relationships/hyperlink" Target="https://www.fanaticscollect.com/newsroom/fanatics-collect-2025-in-review-record-breaking-sales" TargetMode="External"/><Relationship Id="rId24" Type="http://schemas.openxmlformats.org/officeDocument/2006/relationships/hyperlink" Target="https://www.psacard.com/services/psasecurityabuyersguide" TargetMode="External"/><Relationship Id="rId46" Type="http://schemas.openxmlformats.org/officeDocument/2006/relationships/hyperlink" Target="https://www.ubs.com/global/en/our-firm/art/art-market-research.html" TargetMode="External"/><Relationship Id="rId23" Type="http://schemas.openxmlformats.org/officeDocument/2006/relationships/hyperlink" Target="https://www.psacard.com/articles/articleview/9234/psa-labels-get-new-look-technology" TargetMode="External"/><Relationship Id="rId45" Type="http://schemas.openxmlformats.org/officeDocument/2006/relationships/hyperlink" Target="https://www.si.com/collectibles/over-26-million-cards-graded-in-2025-how-the-market-explod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ndviewresearch.com/industry-analysis/collectibles-market-report" TargetMode="External"/><Relationship Id="rId26" Type="http://schemas.openxmlformats.org/officeDocument/2006/relationships/hyperlink" Target="https://developer.ebay.com/api-docs/user-guides/static/trading-user-guide/category-id-overview.html" TargetMode="External"/><Relationship Id="rId25" Type="http://schemas.openxmlformats.org/officeDocument/2006/relationships/hyperlink" Target="https://developer.ebay.com/develop/api/sell/inventory_mapping" TargetMode="External"/><Relationship Id="rId28" Type="http://schemas.openxmlformats.org/officeDocument/2006/relationships/hyperlink" Target="https://developer.ebay.com/api-docs/buy/browse/resources/item_summary/methods/search" TargetMode="External"/><Relationship Id="rId27" Type="http://schemas.openxmlformats.org/officeDocument/2006/relationships/hyperlink" Target="https://developer.ebay.com/api-docs/user-guides/static/make-a-call/bb-categories.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opensea.io/docs/metadata-standards" TargetMode="External"/><Relationship Id="rId7" Type="http://schemas.openxmlformats.org/officeDocument/2006/relationships/hyperlink" Target="https://www.kdmarketinsights.com/reports/collectibles-market/7607" TargetMode="External"/><Relationship Id="rId8" Type="http://schemas.openxmlformats.org/officeDocument/2006/relationships/hyperlink" Target="https://www.econmarketresearch.com/industry-report/collectibles-market" TargetMode="External"/><Relationship Id="rId31" Type="http://schemas.openxmlformats.org/officeDocument/2006/relationships/hyperlink" Target="https://yieldtalk.com/rally-review/" TargetMode="External"/><Relationship Id="rId30" Type="http://schemas.openxmlformats.org/officeDocument/2006/relationships/hyperlink" Target="https://github.com/ProjectOpenSea/opensea-skill/blob/main/references/marketplace-api.md" TargetMode="External"/><Relationship Id="rId11" Type="http://schemas.openxmlformats.org/officeDocument/2006/relationships/hyperlink" Target="https://www.gminsights.com/industry-analysis/antiques-and-collectibles-market" TargetMode="External"/><Relationship Id="rId33" Type="http://schemas.openxmlformats.org/officeDocument/2006/relationships/hyperlink" Target="https://milkroad.com/real-estate/" TargetMode="External"/><Relationship Id="rId10" Type="http://schemas.openxmlformats.org/officeDocument/2006/relationships/hyperlink" Target="https://www.globalgrowthinsights.com/market-reports/collectibles-market-118751" TargetMode="External"/><Relationship Id="rId32" Type="http://schemas.openxmlformats.org/officeDocument/2006/relationships/hyperlink" Target="https://www.zoniqx.com/resources/top-real-estate-tokenization-platforms-in-2025-and-2026" TargetMode="External"/><Relationship Id="rId13" Type="http://schemas.openxmlformats.org/officeDocument/2006/relationships/hyperlink" Target="https://www.stellarmr.com/report/collectibles-market/2732" TargetMode="External"/><Relationship Id="rId35" Type="http://schemas.openxmlformats.org/officeDocument/2006/relationships/hyperlink" Target="https://www.crystalfunds.com/insights/the-collectibles-market-from-hobby-to-investible-asset-class" TargetMode="External"/><Relationship Id="rId12" Type="http://schemas.openxmlformats.org/officeDocument/2006/relationships/hyperlink" Target="https://www.marketdecipher.com/report/collectibles-market" TargetMode="External"/><Relationship Id="rId34" Type="http://schemas.openxmlformats.org/officeDocument/2006/relationships/hyperlink" Target="https://gofaizen-sherle.com/rwa-tokenization/fractional-real-estate" TargetMode="External"/><Relationship Id="rId15" Type="http://schemas.openxmlformats.org/officeDocument/2006/relationships/hyperlink" Target="https://www.mordorintelligence.com/industry-reports/non-fungible-token-market" TargetMode="External"/><Relationship Id="rId37" Type="http://schemas.openxmlformats.org/officeDocument/2006/relationships/hyperlink" Target="https://earnpark.com/en/posts/nft-market-2026-dead-or-just-different/" TargetMode="External"/><Relationship Id="rId14" Type="http://schemas.openxmlformats.org/officeDocument/2006/relationships/hyperlink" Target="https://www.congruencemarketinsights.com/report/digital-collectible-stamps-market" TargetMode="External"/><Relationship Id="rId36" Type="http://schemas.openxmlformats.org/officeDocument/2006/relationships/hyperlink" Target="https://www.ml.com/articles/art-market-spring-update.html" TargetMode="External"/><Relationship Id="rId17" Type="http://schemas.openxmlformats.org/officeDocument/2006/relationships/hyperlink" Target="https://arttactic.com/editorials/key-takeaways-from-fractional-ownership-monitor-september-2025" TargetMode="External"/><Relationship Id="rId39" Type="http://schemas.openxmlformats.org/officeDocument/2006/relationships/hyperlink" Target="https://www.hklaw.com/en/insights/publications/2025/12/sec-enforcement-2025-year-in-review" TargetMode="External"/><Relationship Id="rId16" Type="http://schemas.openxmlformats.org/officeDocument/2006/relationships/hyperlink" Target="https://www.econmarketresearch.com/industry-report/collectibles-authentication-and-grading-service-market" TargetMode="External"/><Relationship Id="rId38" Type="http://schemas.openxmlformats.org/officeDocument/2006/relationships/hyperlink" Target="https://corpgov.law.harvard.edu/2026/01/21/sec-enforcement-2025-year-in-review/" TargetMode="External"/><Relationship Id="rId19" Type="http://schemas.openxmlformats.org/officeDocument/2006/relationships/hyperlink" Target="https://www.datainsightsmarket.com/reports/collectibles-authentication-and-grading-1955622" TargetMode="External"/><Relationship Id="rId18" Type="http://schemas.openxmlformats.org/officeDocument/2006/relationships/hyperlink" Target="https://hackmd.io/@RPkM0_XPT--AcIh5jiBojQ/r12hH8xY-e?utm_source=preview-mode&amp;utm_medium=re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