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B2A4A"/>
        </w:rPr>
        <w:t>Peer Assessment — by Obed Ninson</w:t>
      </w:r>
    </w:p>
    <w:p>
      <w:pPr>
        <w:pStyle w:val="Heading1"/>
      </w:pPr>
      <w:r>
        <w:rPr>
          <w:color w:val="1B2A4A"/>
        </w:rPr>
        <w:t>Peer Assessment — completed by Obed Ninson</w:t>
      </w:r>
    </w:p>
    <w:p>
      <w:r>
        <w:t xml:space="preserve">Project 1: Roofline Reckoning, CPEN 315/733, Group 3. Per the brief's Part V §9: completed </w:t>
      </w:r>
      <w:r>
        <w:rPr>
          <w:b/>
        </w:rPr>
        <w:t>individually and confidentially</w:t>
      </w:r>
      <w:r>
        <w:t xml:space="preserve"> by each team member. Ratings 1 (well below expectations) to 5 (well above expectations). </w:t>
      </w:r>
      <w:r>
        <w:rPr>
          <w:b/>
        </w:rPr>
        <w:t>This form is intentionally left entirely blank — it must reflect your own honest, private assessment, not anything pre-filled on your behalf. Do not share your completed copy with teammates before submission; the free-text field is read only by the instructor.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B2A4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Teammate name</w:t>
            </w:r>
          </w:p>
        </w:tc>
        <w:tc>
          <w:tcPr>
            <w:tcW w:type="dxa" w:w="1560"/>
            <w:shd w:fill="1B2A4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Technical contribution (1–5)</w:t>
            </w:r>
          </w:p>
        </w:tc>
        <w:tc>
          <w:tcPr>
            <w:tcW w:type="dxa" w:w="1560"/>
            <w:shd w:fill="1B2A4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Reliability/met deadlines (1–5)</w:t>
            </w:r>
          </w:p>
        </w:tc>
        <w:tc>
          <w:tcPr>
            <w:tcW w:type="dxa" w:w="1560"/>
            <w:shd w:fill="1B2A4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Communication (1–5)</w:t>
            </w:r>
          </w:p>
        </w:tc>
        <w:tc>
          <w:tcPr>
            <w:tcW w:type="dxa" w:w="1560"/>
            <w:shd w:fill="1B2A4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Contribution to defence readiness (1–5)</w:t>
            </w:r>
          </w:p>
        </w:tc>
        <w:tc>
          <w:tcPr>
            <w:tcW w:type="dxa" w:w="1560"/>
            <w:shd w:fill="1B2A4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One specific example of their best contribution</w:t>
            </w:r>
          </w:p>
        </w:tc>
      </w:tr>
      <w:tr>
        <w:tc>
          <w:tcPr>
            <w:tcW w:type="dxa" w:w="1560"/>
          </w:tcPr>
          <w:p>
            <w:r/>
            <w:r>
              <w:t>Samuel Kojo Anafi Antwi</w:t>
            </w:r>
          </w:p>
        </w:tc>
        <w:tc>
          <w:tcPr>
            <w:tcW w:type="dxa" w:w="1560"/>
          </w:tcPr>
          <w:p>
            <w:r>
              <w:t>5</w:t>
            </w:r>
          </w:p>
        </w:tc>
        <w:tc>
          <w:tcPr>
            <w:tcW w:type="dxa" w:w="1560"/>
          </w:tcPr>
          <w:p>
            <w:r>
              <w:t>5</w:t>
            </w:r>
          </w:p>
        </w:tc>
        <w:tc>
          <w:tcPr>
            <w:tcW w:type="dxa" w:w="1560"/>
          </w:tcPr>
          <w:p>
            <w:r>
              <w:t>5</w:t>
            </w:r>
          </w:p>
        </w:tc>
        <w:tc>
          <w:tcPr>
            <w:tcW w:type="dxa" w:w="1560"/>
          </w:tcPr>
          <w:p>
            <w:r>
              <w:t>5</w:t>
            </w:r>
          </w:p>
        </w:tc>
        <w:tc>
          <w:tcPr>
            <w:tcW w:type="dxa" w:w="1560"/>
          </w:tcPr>
          <w:p>
            <w:r>
              <w:t>Delivered all four weekly progress reports (Weeks 1–4) on schedule and set up the initial repo, keeping the team's documentation trail complete and consistent throughout the project.</w:t>
            </w:r>
          </w:p>
        </w:tc>
      </w:tr>
      <w:tr>
        <w:tc>
          <w:tcPr>
            <w:tcW w:type="dxa" w:w="1560"/>
          </w:tcPr>
          <w:p>
            <w:r/>
            <w:r>
              <w:t>Amponsah Jonathan Boadu</w:t>
            </w:r>
          </w:p>
        </w:tc>
        <w:tc>
          <w:tcPr>
            <w:tcW w:type="dxa" w:w="1560"/>
          </w:tcPr>
          <w:p>
            <w:r>
              <w:t>5</w:t>
            </w:r>
          </w:p>
        </w:tc>
        <w:tc>
          <w:tcPr>
            <w:tcW w:type="dxa" w:w="1560"/>
          </w:tcPr>
          <w:p>
            <w:r>
              <w:t>5</w:t>
            </w:r>
          </w:p>
        </w:tc>
        <w:tc>
          <w:tcPr>
            <w:tcW w:type="dxa" w:w="1560"/>
          </w:tcPr>
          <w:p>
            <w:r>
              <w:t>5</w:t>
            </w:r>
          </w:p>
        </w:tc>
        <w:tc>
          <w:tcPr>
            <w:tcW w:type="dxa" w:w="1560"/>
          </w:tcPr>
          <w:p>
            <w:r>
              <w:t>5</w:t>
            </w:r>
          </w:p>
        </w:tc>
        <w:tc>
          <w:tcPr>
            <w:tcW w:type="dxa" w:w="1560"/>
          </w:tcPr>
          <w:p>
            <w:r>
              <w:t>Built the perf_event_open hardware-counter measurement harness, the experiment matrix and Roofline microbenchmarks, and the integrated end-to-end pipeline script (run_full_pipeline.sh) tying the whole experiment together.</w:t>
            </w:r>
          </w:p>
        </w:tc>
      </w:tr>
      <w:tr>
        <w:tc>
          <w:tcPr>
            <w:tcW w:type="dxa" w:w="1560"/>
          </w:tcPr>
          <w:p>
            <w:r/>
            <w:r>
              <w:t>Kumi Kelvin Gyabaah</w:t>
            </w:r>
          </w:p>
        </w:tc>
        <w:tc>
          <w:tcPr>
            <w:tcW w:type="dxa" w:w="1560"/>
          </w:tcPr>
          <w:p>
            <w:r>
              <w:t>5</w:t>
            </w:r>
          </w:p>
        </w:tc>
        <w:tc>
          <w:tcPr>
            <w:tcW w:type="dxa" w:w="1560"/>
          </w:tcPr>
          <w:p>
            <w:r>
              <w:t>5</w:t>
            </w:r>
          </w:p>
        </w:tc>
        <w:tc>
          <w:tcPr>
            <w:tcW w:type="dxa" w:w="1560"/>
          </w:tcPr>
          <w:p>
            <w:r>
              <w:t>5</w:t>
            </w:r>
          </w:p>
        </w:tc>
        <w:tc>
          <w:tcPr>
            <w:tcW w:type="dxa" w:w="1560"/>
          </w:tcPr>
          <w:p>
            <w:r>
              <w:t>5</w:t>
            </w:r>
          </w:p>
        </w:tc>
        <w:tc>
          <w:tcPr>
            <w:tcW w:type="dxa" w:w="1560"/>
          </w:tcPr>
          <w:p>
            <w:r>
              <w:t>Implemented all three core kernels (momo_match, cocobod_yield_regression, rainfall_interpolate), the gh_bench CLI driver, and wrote all 16 correctness unit tests validating them.</w:t>
            </w:r>
          </w:p>
        </w:tc>
      </w:tr>
    </w:tbl>
    <w:p/>
    <w:p>
      <w:r>
        <w:rPr>
          <w:b/>
        </w:rPr>
        <w:t>Optional free-text</w:t>
      </w:r>
      <w:r>
        <w:t xml:space="preserve"> — "Is there anything the instructor should know about how this team functioned?" (read only by the instructor, never shared verbatim with teammates):</w:t>
      </w:r>
    </w:p>
    <w:p>
      <w:r>
        <w:t>The team functioned well overall — work was divided along clear role lines (implementation, measurement/pipeline, reporting, and validation/docs) and each person's commit history backs up their share of the work.</w:t>
      </w:r>
    </w:p>
    <w:p>
      <w:r>
        <w:t>Signature: Obed Ninson    Date: 2026-08-28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