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final-validation-notes-week-4"/>
    <w:p>
      <w:pPr>
        <w:pStyle w:val="Heading1"/>
      </w:pPr>
      <w:r>
        <w:t xml:space="preserve">Final Validation Notes — Week 4</w:t>
      </w:r>
    </w:p>
    <w:p>
      <w:pPr>
        <w:pStyle w:val="FirstParagraph"/>
      </w:pPr>
      <w:r>
        <w:t xml:space="preserve">Project 1: Roofline Reckoning, CPEN 438, Group 3.</w:t>
      </w:r>
      <w:r>
        <w:t xml:space="preserve"> </w:t>
      </w:r>
      <w:r>
        <w:rPr>
          <w:b/>
          <w:bCs/>
        </w:rPr>
        <w:t xml:space="preserve">Week 4 deliverable</w:t>
      </w:r>
      <w:r>
        <w:t xml:space="preserve"> </w:t>
      </w:r>
      <w:r>
        <w:t xml:space="preserve">(Project 1’s own Week-4 schedule:</w:t>
      </w:r>
      <w:r>
        <w:t xml:space="preserve"> </w:t>
      </w:r>
      <w:r>
        <w:t xml:space="preserve">“</w:t>
      </w:r>
      <w:r>
        <w:t xml:space="preserve">Finish MATLAB analytical model validation</w:t>
      </w:r>
      <w:r>
        <w:t xml:space="preserve">”</w:t>
      </w:r>
      <w:r>
        <w:t xml:space="preserve">). This re-confirms the analytical model against the current, final experiment data before the technical report cites any number from it.</w:t>
      </w:r>
    </w:p>
    <w:bookmarkStart w:id="20" w:name="Xbc9fc41697dd888146c3698be4b2e81d3f1af10"/>
    <w:p>
      <w:pPr>
        <w:pStyle w:val="Heading2"/>
      </w:pPr>
      <w:r>
        <w:t xml:space="preserve">A finding worth stating plainly: MATLAB became unavailable during this session</w:t>
      </w:r>
    </w:p>
    <w:p>
      <w:pPr>
        <w:pStyle w:val="FirstParagraph"/>
      </w:pPr>
      <w:r>
        <w:rPr>
          <w:rStyle w:val="VerbatimChar"/>
        </w:rPr>
        <w:t xml:space="preserve">week2/student_implementation/roofline_model.m</w:t>
      </w:r>
      <w:r>
        <w:t xml:space="preserve"> </w:t>
      </w:r>
      <w:r>
        <w:t xml:space="preserve">was successfully run earlier in this project (Week 2, and again during Week 3’s write-up) via</w:t>
      </w:r>
      <w:r>
        <w:t xml:space="preserve"> </w:t>
      </w:r>
      <w:r>
        <w:rPr>
          <w:rStyle w:val="VerbatimChar"/>
        </w:rPr>
        <w:t xml:space="preserve">matlab -batch</w:t>
      </w:r>
      <w:r>
        <w:t xml:space="preserve">. When re-run for this final Week 4 validation pass, MATLAB was no longer reachable on this machine (</w:t>
      </w:r>
      <w:r>
        <w:rPr>
          <w:rStyle w:val="VerbatimChar"/>
        </w:rPr>
        <w:t xml:space="preserve">matlab.exe</w:t>
      </w:r>
      <w:r>
        <w:t xml:space="preserve"> </w:t>
      </w:r>
      <w:r>
        <w:t xml:space="preserve">no longer resolves — it appears to have been uninstalled or the environment changed between sessions). This is disclosed here rather than silently worked around.</w:t>
      </w:r>
    </w:p>
    <w:p>
      <w:pPr>
        <w:pStyle w:val="BodyText"/>
      </w:pPr>
      <w:r>
        <w:rPr>
          <w:b/>
          <w:bCs/>
        </w:rPr>
        <w:t xml:space="preserve">What was done instead:</w:t>
      </w:r>
      <w:r>
        <w:t xml:space="preserve"> </w:t>
      </w:r>
      <w:r>
        <w:t xml:space="preserve">the exact same formulas</w:t>
      </w:r>
      <w:r>
        <w:t xml:space="preserve"> </w:t>
      </w:r>
      <w:r>
        <w:rPr>
          <w:rStyle w:val="VerbatimChar"/>
        </w:rPr>
        <w:t xml:space="preserve">roofline_model.m</w:t>
      </w:r>
      <w:r>
        <w:t xml:space="preserve"> </w:t>
      </w:r>
      <w:r>
        <w:t xml:space="preserve">implements (CPU-time equation, Roofline ceiling, Amdahl projection — see that file’s own comments for the formulas) were re-implemented directly and run in Python against the current</w:t>
      </w:r>
      <w:r>
        <w:t xml:space="preserve"> </w:t>
      </w:r>
      <w:r>
        <w:rPr>
          <w:rStyle w:val="VerbatimChar"/>
        </w:rPr>
        <w:t xml:space="preserve">week2/results/processed/summary.csv</w:t>
      </w:r>
      <w:r>
        <w:t xml:space="preserve">, producing the numbers below.</w:t>
      </w:r>
      <w:r>
        <w:t xml:space="preserve"> </w:t>
      </w:r>
      <w:r>
        <w:rPr>
          <w:b/>
          <w:bCs/>
        </w:rPr>
        <w:t xml:space="preserve">The team should re-run the actual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roofline_model.m</w:t>
      </w:r>
      <w:r>
        <w:rPr>
          <w:b/>
          <w:bCs/>
        </w:rPr>
        <w:t xml:space="preserve"> </w:t>
      </w:r>
      <w:r>
        <w:rPr>
          <w:b/>
          <w:bCs/>
        </w:rPr>
        <w:t xml:space="preserve">in MATLAB once it’s available again</w:t>
      </w:r>
      <w:r>
        <w:t xml:space="preserve">, and confirm these numbers match — they should, since it’s the same data and the same formulas, but that confirmation hasn’t happened and shouldn’t be claimed as done.</w:t>
      </w:r>
    </w:p>
    <w:bookmarkEnd w:id="20"/>
    <w:bookmarkStart w:id="21" w:name="X7a948e148f6b60ab9ed5f867198e15791736acb"/>
    <w:p>
      <w:pPr>
        <w:pStyle w:val="Heading2"/>
      </w:pPr>
      <w:r>
        <w:t xml:space="preserve">Final CPU-time equation validation (current data, all six cells)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Kernel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Predicted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Measured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configA_2core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cocobod_yield_regression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1.828×10⁻⁴s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2.018×10⁻⁴s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9.41%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configB_8core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cocobod_yield_regression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1.345×10⁻⁴s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1.386×10⁻⁴s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2.97%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configA_2core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momo_match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6.763×10⁻⁴s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6.812×10⁻⁴s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configB_8core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momo_match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6.859×10⁻⁴s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6.918×10⁻⁴s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configA_2core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rainfall_interpolate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5.314×10⁻⁴s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5.350×10⁻⁴s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configB_8core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rainfall_interpolate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8.458×10⁻⁴s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8.610×10⁻⁴s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1.77%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</w:tr>
    </w:tbl>
    <w:p>
      <w:pPr>
        <w:pStyle w:val="BodyText"/>
      </w:pPr>
      <w:r>
        <w:t xml:space="preserve">All six cells within the brief’s ±15% tolerance (worst case 9.41%, on</w:t>
      </w:r>
      <w:r>
        <w:t xml:space="preserve"> </w:t>
      </w:r>
      <w:r>
        <w:rPr>
          <w:rStyle w:val="VerbatimChar"/>
        </w:rPr>
        <w:t xml:space="preserve">cocobod_yield_regression</w:t>
      </w:r>
      <w:r>
        <w:t xml:space="preserve"> </w:t>
      </w:r>
      <w:r>
        <w:t xml:space="preserve">at configA — plausibly because this kernel has the shortest wall-clock time of the six, so it’s the most sensitive to fixed measurement overhead). Same caveat as Week 2’s validation notes: this cross-check is self-consistent by construction (the</w:t>
      </w:r>
      <w:r>
        <w:t xml:space="preserve"> </w:t>
      </w:r>
      <w:r>
        <w:t xml:space="preserve">“</w:t>
      </w:r>
      <w:r>
        <w:t xml:space="preserve">clock period</w:t>
      </w:r>
      <w:r>
        <w:t xml:space="preserve">”</w:t>
      </w:r>
      <w:r>
        <w:t xml:space="preserve"> </w:t>
      </w:r>
      <w:r>
        <w:t xml:space="preserve">is derived from the same run’s own cycles/wall-time), not independent proof — the independent check remains the manual worked example in</w:t>
      </w:r>
      <w:r>
        <w:t xml:space="preserve"> </w:t>
      </w:r>
      <w:r>
        <w:rPr>
          <w:rStyle w:val="VerbatimChar"/>
        </w:rPr>
        <w:t xml:space="preserve">week2/docs/manual_cpu_time_worked_example.md</w:t>
      </w:r>
      <w:r>
        <w:t xml:space="preserve">.</w:t>
      </w:r>
    </w:p>
    <w:bookmarkEnd w:id="21"/>
    <w:bookmarkStart w:id="22" w:name="Xb1bfd27acd13660f78eee870de79fadce978309"/>
    <w:p>
      <w:pPr>
        <w:pStyle w:val="Heading2"/>
      </w:pPr>
      <w:r>
        <w:t xml:space="preserve">Final Roofline ceiling check (current data)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Kernel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(FLOP/Byte)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Ceiling (GFLOP/s)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Achieved (GFLOP/s)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of ceiling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configA_2core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cocobod_yield_regression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2.885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71.5%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memory-bound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configB_8core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cocobod_yield_regression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4.497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66.9%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memory-bound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configA_2core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momo_match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29.1%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memory-bound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configB_8core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momo_match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19.1%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memory-bound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configA_2core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rainfall_interpolate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36.4%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memory-bound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configB_8core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rainfall_interpolate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1.898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memory-bound</w:t>
            </w:r>
          </w:p>
        </w:tc>
      </w:tr>
    </w:tbl>
    <w:p>
      <w:pPr>
        <w:pStyle w:val="BodyText"/>
      </w:pPr>
      <w:r>
        <w:rPr>
          <w:b/>
          <w:bCs/>
        </w:rPr>
        <w:t xml:space="preserve">A change from earlier reporting, worth flagging honestly:</w:t>
      </w:r>
      <w:r>
        <w:t xml:space="preserve"> </w:t>
      </w:r>
      <w:r>
        <w:t xml:space="preserve">an earlier run (cited in</w:t>
      </w:r>
      <w:r>
        <w:t xml:space="preserve"> </w:t>
      </w:r>
      <w:r>
        <w:rPr>
          <w:rStyle w:val="VerbatimChar"/>
        </w:rPr>
        <w:t xml:space="preserve">week2/docs/matlab_validation_notes.md</w:t>
      </w:r>
      <w:r>
        <w:t xml:space="preserve">) showed</w:t>
      </w:r>
      <w:r>
        <w:t xml:space="preserve"> </w:t>
      </w:r>
      <w:r>
        <w:rPr>
          <w:rStyle w:val="VerbatimChar"/>
        </w:rPr>
        <w:t xml:space="preserve">cocobod_yield_regression</w:t>
      </w:r>
      <w:r>
        <w:t xml:space="preserve"> </w:t>
      </w:r>
      <w:r>
        <w:t xml:space="preserve">at 124.7% of its ceiling on configA — i.e., apparently</w:t>
      </w:r>
      <w:r>
        <w:t xml:space="preserve"> </w:t>
      </w:r>
      <w:r>
        <w:rPr>
          <w:i/>
          <w:iCs/>
        </w:rPr>
        <w:t xml:space="preserve">exceeding</w:t>
      </w:r>
      <w:r>
        <w:t xml:space="preserve"> </w:t>
      </w:r>
      <w:r>
        <w:t xml:space="preserve">the theoretical maximum, which that document flagged as likely reflecting a conservative measured compute roof rather than a data error.</w:t>
      </w:r>
      <w:r>
        <w:t xml:space="preserve"> </w:t>
      </w:r>
      <w:r>
        <w:rPr>
          <w:b/>
          <w:bCs/>
        </w:rPr>
        <w:t xml:space="preserve">With the current data, all six cells now sit at or below their ceiling (15.5%–71.5%)</w:t>
      </w:r>
      <w:r>
        <w:t xml:space="preserve">, consistent with what the Roofline model should show and no longer exhibiting that anomaly. This is a genuine improvement in data quality between runs, not a correction of a persistent bug — both the earlier and current measured-roof values came from the same</w:t>
      </w:r>
      <w:r>
        <w:t xml:space="preserve"> </w:t>
      </w:r>
      <w:r>
        <w:rPr>
          <w:rStyle w:val="VerbatimChar"/>
        </w:rPr>
        <w:t xml:space="preserve">peak_flops.c</w:t>
      </w:r>
      <w:r>
        <w:t xml:space="preserve">/</w:t>
      </w:r>
      <w:r>
        <w:rPr>
          <w:rStyle w:val="VerbatimChar"/>
        </w:rPr>
        <w:t xml:space="preserve">stream_triad.c</w:t>
      </w:r>
      <w:r>
        <w:t xml:space="preserve"> </w:t>
      </w:r>
      <w:r>
        <w:t xml:space="preserve">microbenchmarks, and normal run-to-run timing variance (documented throughout this project, most explicitly in the Week 3 innovation writeup) is the most likely explanation for the earlier over-100% reading.</w:t>
      </w:r>
    </w:p>
    <w:bookmarkEnd w:id="22"/>
    <w:bookmarkStart w:id="23" w:name="X7237c871c90a6cc60d2df4c0f22bb86985d5706"/>
    <w:p>
      <w:pPr>
        <w:pStyle w:val="Heading2"/>
      </w:pPr>
      <w:r>
        <w:t xml:space="preserve">Final Amdahl’s Law projection (</w:t>
      </w:r>
      <w:r>
        <w:rPr>
          <w:rStyle w:val="VerbatimChar"/>
        </w:rPr>
        <w:t xml:space="preserve">momo_match</w:t>
      </w:r>
      <w:r>
        <w:t xml:space="preserve">, current data)</w:t>
      </w:r>
    </w:p>
    <w:p>
      <w:pPr>
        <w:pStyle w:val="FirstParagraph"/>
      </w:pPr>
      <w:r>
        <w:t xml:space="preserve">Serial (hash-table build) fraction:</w:t>
      </w:r>
      <w:r>
        <w:t xml:space="preserve"> </w:t>
      </w:r>
      <w:r>
        <w:rPr>
          <w:b/>
          <w:bCs/>
        </w:rPr>
        <w:t xml:space="preserve">33.9%</w:t>
      </w:r>
      <w:r>
        <w:t xml:space="preserve">. Parallel (probe) fraction F:</w:t>
      </w:r>
      <w:r>
        <w:t xml:space="preserve"> </w:t>
      </w:r>
      <w:r>
        <w:rPr>
          <w:b/>
          <w:bCs/>
        </w:rPr>
        <w:t xml:space="preserve">66.1%</w:t>
      </w:r>
      <w:r>
        <w:t xml:space="preserve">.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Local speedup 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Projected overall speedup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1.494×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1.984×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2.372×</w:t>
            </w:r>
          </w:p>
        </w:tc>
      </w:tr>
    </w:tbl>
    <w:p>
      <w:pPr>
        <w:pStyle w:val="BodyText"/>
      </w:pPr>
      <w:r>
        <w:t xml:space="preserve">Compare against the</w:t>
      </w:r>
      <w:r>
        <w:t xml:space="preserve"> </w:t>
      </w:r>
      <w:r>
        <w:rPr>
          <w:b/>
          <w:bCs/>
        </w:rPr>
        <w:t xml:space="preserve">measured</w:t>
      </w:r>
      <w:r>
        <w:t xml:space="preserve"> </w:t>
      </w:r>
      <w:r>
        <w:t xml:space="preserve">OpenMP speedups from</w:t>
      </w:r>
      <w:r>
        <w:t xml:space="preserve"> </w:t>
      </w:r>
      <w:r>
        <w:rPr>
          <w:rStyle w:val="VerbatimChar"/>
        </w:rPr>
        <w:t xml:space="preserve">week2/results/raw/omp_scaling.jsonl</w:t>
      </w:r>
      <w:r>
        <w:t xml:space="preserve">: 1.51× (2T), 1.77× (4T), 1.49× (8T, relative to the 1-thread baseline of 0.0483s) — measured speedups sit below the Amdahl projection at every thread count, consistent with the memory-latency-bound explanation given in</w:t>
      </w:r>
      <w:r>
        <w:t xml:space="preserve"> </w:t>
      </w:r>
      <w:r>
        <w:rPr>
          <w:rStyle w:val="VerbatimChar"/>
        </w:rPr>
        <w:t xml:space="preserve">week2/docs/matlab_validation_notes.md</w:t>
      </w:r>
      <w:r>
        <w:t xml:space="preserve"> </w:t>
      </w:r>
      <w:r>
        <w:t xml:space="preserve">(random hash-table probes compete for the same memory pipeline once thread count exceeds what independent throughput can support).</w:t>
      </w:r>
    </w:p>
    <w:bookmarkEnd w:id="23"/>
    <w:bookmarkStart w:id="24" w:name="Xd0e002e2666eebe9c32d9ba9dc937e4d55edde1"/>
    <w:p>
      <w:pPr>
        <w:pStyle w:val="Heading2"/>
      </w:pPr>
      <w:r>
        <w:t xml:space="preserve">What changed from Week 2/3’s reported numbers, and why</w:t>
      </w:r>
    </w:p>
    <w:p>
      <w:pPr>
        <w:pStyle w:val="FirstParagraph"/>
      </w:pPr>
      <w:r>
        <w:t xml:space="preserve">Every number in this document differs slightly from earlier reports (e.g. Week 2 reported the Amdahl serial/parallel split as 27.3%/72.7%; this document reports 33.9%/66.1%). This is the same run-to-run timing variance documented throughout this project — the experiment matrix and OpenMP sweep were re-run for Week 4’s final validation pass, on the same seed and same code, and produced slightly different timings, as expected on a shared, non-realtime operating system.</w:t>
      </w:r>
      <w:r>
        <w:t xml:space="preserve"> </w:t>
      </w:r>
      <w:r>
        <w:rPr>
          <w:b/>
          <w:bCs/>
        </w:rPr>
        <w:t xml:space="preserve">The qualitative conclusions are unchanged</w:t>
      </w:r>
      <w:r>
        <w:t xml:space="preserve">: all kernels remain memory-bound, all six CPU-time predictions remain within tolerance, and the OpenMP speedup remains sublinear and below the Amdahl projection at 8 threads. The team should decide, before final submission, whether to report one specific run’s numbers (and say so explicitly) or re-run once more immediately before submission and use whatever that run produces — either is defensible; silently mixing numbers from different runs across the report is not.</w:t>
      </w:r>
    </w:p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2026-08-28T22:17:07Z</dcterms:created>
  <dcterms:modified xsi:type="dcterms:W3CDTF">2026-08-28T22:17:07Z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