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Quadro de equações da seção 1</w:t>
      </w:r>
    </w:p>
    <w:p>
      <w:r>
        <w:t>Recurso solar e modelagem da conversão fotovoltaica   PPGER UFPB   19 de outubro de 2026</w:t>
      </w:r>
    </w:p>
    <w:p>
      <w:r>
        <w:t>Fundamentos e caracterização do recurso solar. Responsáveis: Samuel.</w:t>
      </w:r>
    </w:p>
    <w:p>
      <w:r>
        <w:t>Este inventário organiza 6 relações numeradas: 6 escritas nas células de método do notebook e 0 complementares explicitadas a partir do código. Usar a coluna de inserção para distribuir a redação e manter os IDs nas referências cruzadas.</w:t>
      </w:r>
    </w:p>
    <w:p>
      <w:r>
        <w:t>A coluna de aplicação distingue conversão principal, tratamento, avaliação, fundamentação, ilustrações e cenários. N e C indicam onde a relação foi registrada e não separam modelos físicos de cenários. Cada símbolo recebe descrição e unidade na própria linha; 1 indica adimensional.</w:t>
      </w:r>
    </w:p>
    <w:p>
      <w:r>
        <w:t>O modelo A converte POA medida e meteorologia local por atenuação assumida, Faiman, CEC de diodo único, perdas CC, inversor PVWatts e perdas CA. A transposição exploratória, a aproximação CC PVWatts, o ajuste empírico e o balanço BIPV são identificados em suas respectivas aplicações.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128"/>
        <w:gridCol w:w="1701"/>
        <w:gridCol w:w="1701"/>
        <w:gridCol w:w="2041"/>
      </w:tblGrid>
      <w:tr>
        <w:trPr>
          <w:tblHeader/>
          <w:cantSplit/>
        </w:trPr>
        <w:tc>
          <w:tcPr>
            <w:tcW w:type="dxa" w:w="3642"/>
            <w:vAlign w:val="center"/>
            <w:shd w:fill="E8EEF4"/>
          </w:tcPr>
          <w:p>
            <w:pPr>
              <w:keepNext/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Seção</w:t>
            </w:r>
          </w:p>
        </w:tc>
        <w:tc>
          <w:tcPr>
            <w:tcW w:type="dxa" w:w="3642"/>
            <w:vAlign w:val="center"/>
            <w:shd w:fill="E8EEF4"/>
          </w:tcPr>
          <w:p>
            <w:pPr>
              <w:keepNext/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Notebook N</w:t>
            </w:r>
          </w:p>
        </w:tc>
        <w:tc>
          <w:tcPr>
            <w:tcW w:type="dxa" w:w="3642"/>
            <w:vAlign w:val="center"/>
            <w:shd w:fill="E8EEF4"/>
          </w:tcPr>
          <w:p>
            <w:pPr>
              <w:keepNext/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Código C</w:t>
            </w:r>
          </w:p>
        </w:tc>
        <w:tc>
          <w:tcPr>
            <w:tcW w:type="dxa" w:w="3642"/>
            <w:vAlign w:val="center"/>
            <w:shd w:fill="E8EEF4"/>
          </w:tcPr>
          <w:p>
            <w:pPr>
              <w:keepNext/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Total de relações</w:t>
            </w:r>
          </w:p>
        </w:tc>
      </w:tr>
      <w:tr>
        <w:trPr>
          <w:cantSplit/>
        </w:trPr>
        <w:tc>
          <w:tcPr>
            <w:tcW w:type="dxa" w:w="3642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1 Fundamentos e caracterização do recurso solar</w:t>
            </w:r>
          </w:p>
        </w:tc>
        <w:tc>
          <w:tcPr>
            <w:tcW w:type="dxa" w:w="3642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6</w:t>
            </w:r>
          </w:p>
        </w:tc>
        <w:tc>
          <w:tcPr>
            <w:tcW w:type="dxa" w:w="3642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type="dxa" w:w="3642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6</w:t>
            </w:r>
          </w:p>
        </w:tc>
      </w:tr>
    </w:tbl>
    <w:p>
      <w:r>
        <w:t xml:space="preserve">O modelo de Faiman corresponde a E3.03, na subseção 3.2; a subseção 2.1 utiliza essa referência.</w:t>
      </w:r>
    </w:p>
    <w:p>
      <w:pPr>
        <w:pStyle w:val="Heading1"/>
        <w:pageBreakBefore w:val="0"/>
      </w:pPr>
      <w:r>
        <w:t>Seção 1 Fundamentos e caracterização do recurso solar</w:t>
      </w:r>
    </w:p>
    <w:p>
      <w:pPr>
        <w:keepNext/>
      </w:pPr>
      <w:r>
        <w:t>Distribuição por subseção: 1.1 com 2 relações; 1.2 com 2 relações; 1.3 com 1 relação; 1.4 com 1 relação.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91"/>
        <w:gridCol w:w="5953"/>
        <w:gridCol w:w="4989"/>
        <w:gridCol w:w="2438"/>
      </w:tblGrid>
      <w:tr>
        <w:trPr>
          <w:tblHeader/>
          <w:cantSplit/>
        </w:trPr>
        <w:tc>
          <w:tcPr>
            <w:tcW w:type="dxa" w:w="3642"/>
            <w:vAlign w:val="center"/>
            <w:shd w:fill="E8EEF4"/>
          </w:tcPr>
          <w:p>
            <w:pPr>
              <w:keepNext/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ID e inserção</w:t>
            </w:r>
          </w:p>
        </w:tc>
        <w:tc>
          <w:tcPr>
            <w:tcW w:type="dxa" w:w="3642"/>
            <w:vAlign w:val="center"/>
            <w:shd w:fill="E8EEF4"/>
          </w:tcPr>
          <w:p>
            <w:pPr>
              <w:keepNext/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Equação</w:t>
            </w:r>
          </w:p>
        </w:tc>
        <w:tc>
          <w:tcPr>
            <w:tcW w:type="dxa" w:w="3642"/>
            <w:vAlign w:val="center"/>
            <w:shd w:fill="E8EEF4"/>
          </w:tcPr>
          <w:p>
            <w:pPr>
              <w:keepNext/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Função e símbolos com unidades</w:t>
            </w:r>
          </w:p>
        </w:tc>
        <w:tc>
          <w:tcPr>
            <w:tcW w:type="dxa" w:w="3642"/>
            <w:vAlign w:val="center"/>
            <w:shd w:fill="E8EEF4"/>
          </w:tcPr>
          <w:p>
            <w:pPr>
              <w:keepNext/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Registro e aplicação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E1.01</w:t>
              <w:br/>
              <w:t>1.1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cos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z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sin</m:t>
              </m:r>
              <m:r>
                <w:rPr>
                  <w:rFonts w:ascii="Cambria Math" w:hAnsi="Cambria Math"/>
                  <w:sz w:val="26"/>
                </w:rPr>
                <m:t>φ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sin</m:t>
              </m:r>
              <m:r>
                <w:rPr>
                  <w:rFonts w:ascii="Cambria Math" w:hAnsi="Cambria Math"/>
                  <w:sz w:val="26"/>
                </w:rPr>
                <m:t>δ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+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cos</m:t>
              </m:r>
              <m:r>
                <w:rPr>
                  <w:rFonts w:ascii="Cambria Math" w:hAnsi="Cambria Math"/>
                  <w:sz w:val="26"/>
                </w:rPr>
                <m:t>φ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cos</m:t>
              </m:r>
              <m:r>
                <w:rPr>
                  <w:rFonts w:ascii="Cambria Math" w:hAnsi="Cambria Math"/>
                  <w:sz w:val="26"/>
                </w:rPr>
                <m:t>δ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cos</m:t>
              </m:r>
              <m:r>
                <w:rPr>
                  <w:rFonts w:ascii="Cambria Math" w:hAnsi="Cambria Math"/>
                  <w:sz w:val="26"/>
                </w:rPr>
                <m:t>ω</m:t>
              </m:r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Ângulo zenital. </w:t>
            </w:r>
            <w:r>
              <w:rPr>
                <w:rFonts w:ascii="Times New Roman" w:hAnsi="Times New Roman"/>
                <w:color w:val="000000"/>
                <w:sz w:val="24"/>
              </w:rPr>
              <w:t>Relacionar a posição do Sol à latitude e ao tempo solar.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θz: ângulo zenital solar [°]; φ: latitude do local [°]; δ: declinação solar [°]; ω: ângulo horário solar [°].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do notebook</w:t>
              <w:br/>
              <w:t>Fundamentação ou exemplo geométrico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R03, R04, R05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E1.02</w:t>
              <w:br/>
              <w:t>1.1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0</m:t>
                  </m:r>
                  <m:r>
                    <w:rPr>
                      <w:rFonts w:ascii="Cambria Math" w:hAnsi="Cambria Math"/>
                      <w:sz w:val="26"/>
                    </w:rPr>
                    <m:t>h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0</m:t>
                  </m:r>
                  <m:r>
                    <w:rPr>
                      <w:rFonts w:ascii="Cambria Math" w:hAnsi="Cambria Math"/>
                      <w:sz w:val="26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cos</m:t>
                  </m:r>
                  <m:sSub>
                    <m:e>
                      <m:r>
                        <w:rPr>
                          <w:rFonts w:ascii="Cambria Math" w:hAnsi="Cambria Math"/>
                          <w:sz w:val="26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</w:rPr>
                        <m:t>z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,</m:t>
                  </m:r>
                  <m:r>
                    <w:rPr>
                      <w:rFonts w:ascii="Cambria Math" w:hAnsi="Cambria Math"/>
                      <w:sz w:val="26"/>
                    </w:rPr>
                    <m:t>0</m:t>
                  </m:r>
                </m:e>
              </m:d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Irradiância extraterrestre horizontal. </w:t>
            </w:r>
            <w:r>
              <w:rPr>
                <w:rFonts w:ascii="Times New Roman" w:hAnsi="Times New Roman"/>
                <w:color w:val="000000"/>
                <w:sz w:val="24"/>
              </w:rPr>
              <w:t>Projetar a irradiância extraterrestre normal na horizontal.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G0h: irradiância extraterrestre horizontal [W/m²]; G0n: irradiância extraterrestre normal [W/m²]; θz: ângulo zenital solar [°].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do notebook</w:t>
              <w:br/>
              <w:t>Geometria calculada e seleção de intervalos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R03, R04, R05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E1.03</w:t>
              <w:br/>
              <w:t>1.2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  <w:sz w:val="26"/>
                </w:rPr>
                <m:t>G</m:t>
              </m:r>
              <m:r>
                <w:rPr>
                  <w:rFonts w:ascii="Cambria Math" w:hAnsi="Cambria Math"/>
                  <w:sz w:val="26"/>
                </w:rPr>
                <m:t>H</m:t>
              </m:r>
              <m:r>
                <w:rPr>
                  <w:rFonts w:ascii="Cambria Math" w:hAnsi="Cambria Math"/>
                  <w:sz w:val="26"/>
                </w:rPr>
                <m:t>I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r>
                <w:rPr>
                  <w:rFonts w:ascii="Cambria Math" w:hAnsi="Cambria Math"/>
                  <w:sz w:val="26"/>
                </w:rPr>
                <m:t>D</m:t>
              </m:r>
              <m:r>
                <w:rPr>
                  <w:rFonts w:ascii="Cambria Math" w:hAnsi="Cambria Math"/>
                  <w:sz w:val="26"/>
                </w:rPr>
                <m:t>N</m:t>
              </m:r>
              <m:r>
                <w:rPr>
                  <w:rFonts w:ascii="Cambria Math" w:hAnsi="Cambria Math"/>
                  <w:sz w:val="26"/>
                </w:rPr>
                <m:t>I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cos</m:t>
                  </m:r>
                  <m:sSub>
                    <m:e>
                      <m:r>
                        <w:rPr>
                          <w:rFonts w:ascii="Cambria Math" w:hAnsi="Cambria Math"/>
                          <w:sz w:val="26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</w:rPr>
                        <m:t>z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,</m:t>
                  </m:r>
                  <m:r>
                    <w:rPr>
                      <w:rFonts w:ascii="Cambria Math" w:hAnsi="Cambria Math"/>
                      <w:sz w:val="26"/>
                    </w:rPr>
                    <m:t>0</m:t>
                  </m:r>
                </m:e>
              </m:d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+</m:t>
              </m:r>
              <m:r>
                <w:rPr>
                  <w:rFonts w:ascii="Cambria Math" w:hAnsi="Cambria Math"/>
                  <w:sz w:val="26"/>
                </w:rPr>
                <m:t>D</m:t>
              </m:r>
              <m:r>
                <w:rPr>
                  <w:rFonts w:ascii="Cambria Math" w:hAnsi="Cambria Math"/>
                  <w:sz w:val="26"/>
                </w:rPr>
                <m:t>H</m:t>
              </m:r>
              <m:r>
                <w:rPr>
                  <w:rFonts w:ascii="Cambria Math" w:hAnsi="Cambria Math"/>
                  <w:sz w:val="26"/>
                </w:rPr>
                <m:t>I</m:t>
              </m:r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Componentes na horizontal. </w:t>
            </w:r>
            <w:r>
              <w:rPr>
                <w:rFonts w:ascii="Times New Roman" w:hAnsi="Times New Roman"/>
                <w:color w:val="000000"/>
                <w:sz w:val="24"/>
              </w:rPr>
              <w:t>Distinguir irradiâncias global horizontal direta normal e difusa horizontal.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GHI: irradiância global horizontal [W/m²]; DNI: irradiância direta normal aos raios [W/m²]; θz: ângulo zenital solar [°]; DHI: irradiância difusa horizontal [W/m²].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do notebook</w:t>
              <w:br/>
              <w:t>Fundamentação ou exemplo geométrico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R01, R14, R18, R29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E1.04</w:t>
              <w:br/>
              <w:t>1.2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  <w:sz w:val="26"/>
                </w:rPr>
                <m:t>H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w:rPr>
                      <w:rFonts w:ascii="Cambria Math" w:hAnsi="Cambria Math"/>
                      <w:sz w:val="26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6"/>
                    </w:rPr>
                    <m:t>​</m:t>
                  </m:r>
                </m:sup>
                <m:e>
                  <m:sSub>
                    <m:e>
                      <m:r>
                        <w:rPr>
                          <w:rFonts w:ascii="Cambria Math" w:hAnsi="Cambria Math"/>
                          <w:sz w:val="26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26"/>
                </w:rPr>
                <m:t>Δ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i</m:t>
                  </m:r>
                </m:sub>
              </m:sSub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Irradiação acumulada. </w:t>
            </w:r>
            <w:r>
              <w:rPr>
                <w:rFonts w:ascii="Times New Roman" w:hAnsi="Times New Roman"/>
                <w:color w:val="000000"/>
                <w:sz w:val="24"/>
              </w:rPr>
              <w:t>Integrar irradiância média no plano e período definidos.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H: irradiação acumulada no plano e período [Wh/m²; /1000 → kWh/m²]; Gi: irradiância no intervalo i [W/m²]; Δti: duração do intervalo i; 0,25 h na série local [h]; i: índice do intervalo ou da observação na janela [1 (índice)].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do notebook</w:t>
              <w:br/>
              <w:t>Integração ou estatística dos dados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R01, R14, R18, R29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E1.05</w:t>
              <w:br/>
              <w:t>1.3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Δ</m:t>
                  </m:r>
                  <m:r>
                    <w:rPr>
                      <w:rFonts w:ascii="Cambria Math" w:hAnsi="Cambria Math"/>
                      <w:sz w:val="26"/>
                    </w:rPr>
                    <m:t>G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média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|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  <w:sz w:val="26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  <w:sz w:val="26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</w:rPr>
                            <m:t>i</m:t>
                          </m:r>
                          <m:r>
                            <w:rPr>
                              <w:rFonts w:ascii="Cambria Math" w:hAnsi="Cambria Math"/>
                              <w:sz w:val="26"/>
                            </w:rPr>
                            <m:rPr>
                              <m:sty m:val="p"/>
                            </m:rPr>
                            <m:t>−</m:t>
                          </m:r>
                          <m:r>
                            <w:rPr>
                              <w:rFonts w:ascii="Cambria Math" w:hAnsi="Cambria Math"/>
                              <w:sz w:val="26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|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média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w:rPr>
                              <w:rFonts w:ascii="Cambria Math" w:hAnsi="Cambria Math"/>
                              <w:sz w:val="26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</w:rPr>
                            <m:t>i</m:t>
                          </m:r>
                        </m:sub>
                      </m:sSub>
                    </m:e>
                  </m:d>
                </m:den>
              </m:f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Variabilidade relativa da irradiância. </w:t>
            </w:r>
            <w:r>
              <w:rPr>
                <w:rFonts w:ascii="Times New Roman" w:hAnsi="Times New Roman"/>
                <w:color w:val="000000"/>
                <w:sz w:val="24"/>
              </w:rPr>
              <w:t>Ordenar os dias pelo passo absoluto médio da POA relativo à sua média.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VΔG: passo absoluto médio relativo da irradiância [1 (adimensional)]; Gi: irradiância no intervalo i [W/m²]; Gi−1: irradiância do par disponível anterior [W/m²]; i: índice do intervalo ou da observação na janela [1 (índice)].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do notebook</w:t>
              <w:br/>
              <w:t>Integração ou estatística dos dados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R01, R25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E1.06</w:t>
              <w:br/>
              <w:t>1.4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  <w:sz w:val="26"/>
                </w:rPr>
                <m:t>C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r>
                <w:rPr>
                  <w:rFonts w:ascii="Cambria Math" w:hAnsi="Cambria Math"/>
                  <w:sz w:val="26"/>
                </w:rPr>
                <m:t>100</m:t>
              </m:r>
              <m:r>
                <w:rPr>
                  <w:rFonts w:ascii="Cambria Math" w:hAnsi="Cambria Math"/>
                  <w:sz w:val="26"/>
                </w:rPr>
                <m:t> 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p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a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r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e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s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/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e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s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p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e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r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a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d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o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s</m:t>
                  </m:r>
                </m:sub>
              </m:sSub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Cobertura dos dados. </w:t>
            </w:r>
            <w:r>
              <w:rPr>
                <w:rFonts w:ascii="Times New Roman" w:hAnsi="Times New Roman"/>
                <w:color w:val="000000"/>
                <w:sz w:val="24"/>
              </w:rPr>
              <w:t>Informar a proporção de intervalos válidos frente aos esperados.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C: cobertura dos dados na janela [%]; Npares: intervalos com dados válidos pareados [1 (contagem)]; Nesperados: intervalos esperados na mesma janela [1 (contagem)].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do notebook</w:t>
              <w:br/>
              <w:t>Integração ou estatística dos dados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R01, R02, R21, R22, R23, R25, R26</w:t>
            </w:r>
          </w:p>
        </w:tc>
      </w:tr>
    </w:tbl>
    <w:p>
      <w:r>
        <w:t>Os ângulos são calculados por SPA no meio dos intervalos. As componentes locais GHI DNI e DHI são reconstruídas na exploração inversa. A variabilidade usa os pares disponíveis de cada dia.</w:t>
      </w:r>
    </w:p>
    <w:p>
      <w:pPr>
        <w:pStyle w:val="Heading1"/>
      </w:pPr>
      <w:r>
        <w:t>Convenções para a redação</w:t>
      </w:r>
    </w:p>
    <w:p>
      <w:r>
        <w:t>Usar o mesmo plano, intervalo e máscara temporal nas comparações. G designa irradiância; H irradiação; P potência e E energia. Cada linha define todas as variáveis da relação. i indexa intervalos ou observações; j indexa perdas ou estágios conforme a linha. As operações soma, produto, média, valor absoluto, mínimo e máximo não são novas variáveis.</w:t>
      </w:r>
    </w:p>
    <w:p>
      <w:r>
        <w:t>Ângulos são declarados em graus. Rotinas trigonométricas que recebem radianos exigem conversão. Azimutes partem do norte no sentido horário.</w:t>
      </w:r>
    </w:p>
    <w:p>
      <w:r>
        <w:t>Em E1.04, G em W/m² e Δt em h produzem H em Wh/m²; o código divide por 1000 para kWh/m². Em E3.18, P em kW produz E em kWh; o código converte suas séries W por /1000.</w:t>
      </w:r>
    </w:p>
    <w:p>
      <w:r>
        <w:t>Cada linha conta uma relação. Constantes e parâmetros não entram na contagem. N identifica relações do notebook e C, relações complementares do código; selecionar a inclusão conforme a discussão e o espaço. A numeração final do capítulo será definida na consolidação.</w:t>
      </w:r>
    </w:p>
    <w:p>
      <w:r>
        <w:t>O caso comum é PVDAQ 2107, abril a junho de 2024. As 4401 observações diurnas pareadas não representam todos os intervalos do trimestre. A potência nominal declarada é 893 kWp. O exemplo de associação elétrica e o balanço BIPV são hipóteses identificadas.</w:t>
      </w:r>
    </w:p>
    <w:p>
      <w:pPr>
        <w:pStyle w:val="Heading1"/>
      </w:pPr>
      <w:r>
        <w:t>Origem identificável das equações</w:t>
      </w:r>
    </w:p>
    <w:p>
      <w:r>
        <w:t>src/projeto_fv.py::geometry  E1.01, E1.02</w:t>
      </w:r>
    </w:p>
    <w:p>
      <w:r>
        <w:t>docs/secoes_capitulo.json::1.2  E1.03</w:t>
      </w:r>
    </w:p>
    <w:p>
      <w:r>
        <w:t>src/refinamento_fv.py::analytics  E1.04, E1.05, E1.06</w:t>
      </w:r>
    </w:p>
    <w:p>
      <w:r>
        <w:t>As fórmulas N correspondem às células de método das 19 subseções do notebook. Os algoritmos de SPA, CEC e Perez–Driesse, as conversões e os filtros estão no código. Citar as fontes R e explicitar as hipóteses na redação.</w:t>
      </w:r>
    </w:p>
    <w:p>
      <w:r>
        <w:t>Fontes e referências metodológicas R: https://github.com/samuelasroma-byte/SPGER0046_Energias_Renovaveis/blob/main/references/Referencias_do_Projeto.md</w:t>
      </w:r>
    </w:p>
    <w:p>
      <w:r>
        <w:t>Inventário legível com localização e links: https://github.com/samuelasroma-byte/SPGER0046_Energias_Renovaveis/blob/main/docs/equacoes/README.md</w:t>
      </w:r>
    </w:p>
    <w:sectPr w:rsidR="00FC693F" w:rsidRPr="0006063C" w:rsidSect="00034616">
      <w:footerReference w:type="default" r:id="rId9"/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0"/>
      </w:rPr>
      <w:t xml:space="preserve">SPGER0046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="Times New Roman" w:hAnsi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Quadro de equações da seção 1</dc:title>
  <dc:subject>Inventário editorial de equações por seção e subseção</dc:subject>
  <dc:creator>Equipe SPGER0046 PPGER UFPB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