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b/>
          <w:color w:val="000000"/>
          <w:sz w:val="28"/>
        </w:rPr>
        <w:t>Tabelas e quadros da seção 1</w:t>
      </w:r>
    </w:p>
    <w:p>
      <w:r>
        <w:t>Fundamentos e caracterização do recurso solar</w:t>
      </w:r>
    </w:p>
    <w:p>
      <w:r>
        <w:t>Responsáveis pela seção: Samuel.</w:t>
      </w:r>
    </w:p>
    <w:p>
      <w:r>
        <w:t>Cada item está associado à subseção indicada. Referências em outras partes do capítulo usam o mesmo ID.</w:t>
      </w:r>
    </w:p>
    <w:p>
      <w:pPr>
        <w:pStyle w:val="Heading1"/>
      </w:pPr>
      <w:r>
        <w:t>Subseção 1.4</w:t>
      </w:r>
    </w:p>
    <w:p>
      <w:pPr>
        <w:keepNext/>
      </w:pPr>
      <w:r>
        <w:rPr>
          <w:b/>
          <w:color w:val="000000"/>
          <w:sz w:val="24"/>
        </w:rPr>
        <w:t>Q01  Inserção exclusiva na subseção 1.4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1 — Dados disponíveis e limites do estudo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970"/>
        <w:gridCol w:w="2322"/>
        <w:gridCol w:w="3780"/>
      </w:tblGrid>
      <w:tr>
        <w:trPr>
          <w:tblHeader/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Item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Situação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Consequência para o estudo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Latitude, longitude, altitude, inclinação e azimute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Disponíveis nos metadados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Permitem calcular a geometria solar; não é preciso medir o zenital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POA, temperatura do ar, vento e potência AC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Medições locais disponíveis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Permitem comparação elétrica agregada modelo–medidor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GHI, DNI e DHI locais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séries medidas nos arquivos obtidos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impedem o modelo direto com POA; impedem validação independente das componentes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medida de módulo/célula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Ausente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operacional estimada; etapa térmica sem validação própria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Strings, associação aos MPPTs e limite AC efetivo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Documentação incompleta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Modelo agregado possível; reconstrução detalhada não comprovada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Albedo, limpeza, sombras e altura do anemômetro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documentados suficientemente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Hipóteses e sensibilidades; causas de perdas não identificadas só pelo resíduo</w:t>
            </w:r>
          </w:p>
        </w:tc>
      </w:tr>
      <w:tr>
        <w:trPr>
          <w:cantSplit/>
        </w:trPr>
        <w:tc>
          <w:tcPr>
            <w:tcW w:type="dxa" w:w="297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e propriedades de produto BIPV</w:t>
            </w:r>
          </w:p>
        </w:tc>
        <w:tc>
          <w:tcPr>
            <w:tcW w:type="dxa" w:w="2322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medições</w:t>
            </w:r>
          </w:p>
        </w:tc>
        <w:tc>
          <w:tcPr>
            <w:tcW w:type="dxa" w:w="3780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Extensão simulada; sem validação de fachada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Dados PVDAQ 2107. Metadados incompletos não foram preenchidos como se fossem medições.</w:t>
      </w:r>
    </w:p>
    <w:p>
      <w:pPr>
        <w:keepNext/>
      </w:pPr>
      <w:r>
        <w:rPr>
          <w:b/>
          <w:color w:val="000000"/>
          <w:sz w:val="24"/>
        </w:rPr>
        <w:t>Q03  Inserção exclusiva na subseção 1.4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Quadro 3 — Fundamentos e recurso solar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007"/>
        <w:gridCol w:w="3007"/>
        <w:gridCol w:w="3058"/>
      </w:tblGrid>
      <w:tr>
        <w:trPr>
          <w:tblHeader/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Subseção e responsável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Entregas e evidência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e referências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1.1 Geometria solar e irradiância extraterrestre</w:t>
              <w:br/>
              <w:t>Samuel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Geometria solar e quadro de convenções.</w:t>
              <w:br/>
              <w:t>Evidência: Cálculo físico com coordenadas documentadas.</w:t>
              <w:br/>
              <w:t>Figuras: G01.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há observação independente de ângulo solar; a geometria pode ser calculada.</w:t>
              <w:br/>
              <w:t>Fontes: R03, R04, R05.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1.2 Grandezas radiométricas e componentes da radiação</w:t>
              <w:br/>
              <w:t>Samuel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Quadro das grandezas e componentes estimadas.</w:t>
              <w:br/>
              <w:t>Evidência: Medição POA e estimativa exploratória das componentes.</w:t>
              <w:br/>
              <w:t>Figuras: F02.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Sem GHI/DNI/DHI locais medidos; reconstrução não equivale a observação.</w:t>
              <w:br/>
              <w:t>Fontes: R01, R14, R18, R29.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1.3 Modulação atmosférica e variabilidade espaço temporal</w:t>
              <w:br/>
              <w:t>Samuel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Critério dos dias ilustrativos e irradiação pareada.</w:t>
              <w:br/>
              <w:t>Evidência: Descrição observacional de variabilidade.</w:t>
              <w:br/>
              <w:t>Figuras: G02.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Não se atribuem causas atmosféricas isoladas nem climatologia anual a um trimestre.</w:t>
              <w:br/>
              <w:t>Fontes: R01, R25.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1.4 Medição e estimativa do recurso solar</w:t>
              <w:br/>
              <w:t>Samuel</w:t>
            </w:r>
          </w:p>
        </w:tc>
        <w:tc>
          <w:tcPr>
            <w:tcW w:type="dxa" w:w="3007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0" w:line="240" w:lineRule="auto"/>
              <w:ind w:firstLine="0"/>
            </w:pPr>
            <w:r>
              <w:rPr>
                <w:rFonts w:ascii="Times New Roman" w:hAnsi="Times New Roman"/>
                <w:color w:val="000000"/>
                <w:sz w:val="24"/>
              </w:rPr>
              <w:t>Situação dos dados, proveniência e cobertura.</w:t>
              <w:br/>
              <w:t>Evidência: Auditoria de disponibilidade e documentação.</w:t>
              <w:br/>
              <w:t>Figuras: FL01.</w:t>
            </w:r>
          </w:p>
        </w:tc>
        <w:tc>
          <w:tcPr>
            <w:tcW w:type="dxa" w:w="305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Disponibilidade elevada não certifica sensores. Altura do anemômetro e alguns metadados permanecem incompletos.</w:t>
              <w:br/>
              <w:t>Fontes: R01, R02, R21, R22, R23, R25, R26.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 matriz CSV e Markdown contém também objetivos, entradas e métodos. Cobertura didática não significa validação independente de cada etapa.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e quadros da seção 1</dc:title>
  <dc:subject>Farm Solar Array PVDAQ 2107 abril a junho de 2024</dc:subject>
  <dc:creator>Equipe SPGER0046 PPGER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