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Quadro de equações da seção 2</w:t>
      </w:r>
    </w:p>
    <w:p>
      <w:r>
        <w:t>Recurso solar e modelagem da conversão fotovoltaica   PPGER UFPB   19 de outubro de 2026</w:t>
      </w:r>
    </w:p>
    <w:p>
      <w:r>
        <w:t>Condições ambientais e de entorno da conversão fotovoltaica. Responsáveis: Vannessa e Thais.</w:t>
      </w:r>
    </w:p>
    <w:p>
      <w:r>
        <w:t>Este inventário organiza 7 relações numeradas: 4 escritas nas células de método do notebook e 3 complementares explicitadas a partir do código. Usar a coluna de inserção para distribuir a redação e manter os IDs nas referências cruzadas.</w:t>
      </w:r>
    </w:p>
    <w:p>
      <w:r>
        <w:t>A coluna de aplicação distingue conversão principal, tratamento, avaliação, fundamentação, ilustrações e cenários. N e C indicam onde a relação foi registrada e não separam modelos físicos de cenários. Cada símbolo recebe descrição e unidade na própria linha; 1 indica adimensional.</w:t>
      </w:r>
    </w:p>
    <w:p>
      <w:r>
        <w:t>O modelo A converte POA medida e meteorologia local por atenuação assumida, Faiman, CEC de diodo único, perdas CC, inversor PVWatts e perdas CA. A transposição exploratória, a aproximação CC PVWatts, o ajuste empírico e o balanço BIPV são identificados em suas respectivas aplicações.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128"/>
        <w:gridCol w:w="1701"/>
        <w:gridCol w:w="1701"/>
        <w:gridCol w:w="2041"/>
      </w:tblGrid>
      <w:tr>
        <w:trPr>
          <w:tblHeader/>
          <w:cantSplit/>
        </w:trPr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Seção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Notebook N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Código C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Total de relações</w:t>
            </w:r>
          </w:p>
        </w:tc>
      </w:tr>
      <w:tr>
        <w:trPr>
          <w:cantSplit/>
        </w:trPr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2 Condições ambientais e de entorno da conversão fotovoltaica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</w:tr>
    </w:tbl>
    <w:p>
      <w:r>
        <w:t xml:space="preserve">O modelo de Faiman corresponde a E3.03, na subseção 3.2; a subseção 2.1 utiliza essa referência.</w:t>
      </w:r>
    </w:p>
    <w:p>
      <w:pPr>
        <w:pStyle w:val="Heading1"/>
        <w:pageBreakBefore w:val="0"/>
      </w:pPr>
      <w:r>
        <w:t>Seção 2 Condições ambientais e de entorno da conversão fotovoltaica</w:t>
      </w:r>
    </w:p>
    <w:p>
      <w:pPr>
        <w:keepNext/>
      </w:pPr>
      <w:r>
        <w:t>Distribuição por subseção: 2.1 com 3 relações; 2.2 com 1 relação; 2.3 com 1 relação; 2.4 com 2 relações.</w:t>
      </w:r>
    </w:p>
    <w:p>
      <w:r>
        <w:t>Em 2.1 as relações de apoio descrevem as estatísticas tabuladas. O modelo térmico deve ser citado em E3.03 sem repetir sua inserção.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1"/>
        <w:gridCol w:w="5953"/>
        <w:gridCol w:w="4989"/>
        <w:gridCol w:w="2438"/>
      </w:tblGrid>
      <w:tr>
        <w:trPr>
          <w:tblHeader/>
          <w:cantSplit/>
        </w:trPr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ID e inserção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Equação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Função e símbolos com unidades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Registro e aplicação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E2.01</w:t>
              <w:br/>
              <w:t>2.1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  <w:sz w:val="26"/>
                    </w:rPr>
                    <m:t>x</m:t>
                  </m:r>
                </m:e>
              </m:ba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=</m:t>
                  </m:r>
                  <m:r>
                    <w:rPr>
                      <w:rFonts w:ascii="Cambria Math" w:hAnsi="Cambria Math"/>
                      <w:sz w:val="26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sup>
                <m:e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</m:sub>
                  </m:sSub>
                </m:e>
              </m:nary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Média amostral. </w:t>
            </w:r>
            <w:r>
              <w:rPr>
                <w:rFonts w:ascii="Times New Roman" w:hAnsi="Times New Roman"/>
                <w:color w:val="000000"/>
                <w:sz w:val="24"/>
              </w:rPr>
              <w:t>Resumir a posição das distribuições ambientais e das variáveis tabuladas.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x̄: média amostral da variável [unidade de x: °C, m/s, W/m² ou kW]; n: número de observações válidas da variável [1 (contagem)]; xi: observação da variável tabulada [unidade de x: °C, m/s, W/m² ou kW];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Integração ou estatística dos dados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E2.02</w:t>
              <w:br/>
              <w:t>2.1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sz w:val="26"/>
                            </w:rPr>
                            <m:rPr>
                              <m:sty m:val="p"/>
                            </m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6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6"/>
                            </w:rPr>
                            <m:t>n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6"/>
                                    </w:rPr>
                                    <m:rPr>
                                      <m:sty m:val="p"/>
                                    </m:rPr>
                                    <m:t>−</m:t>
                                  </m:r>
                                  <m:bar>
                                    <m:barPr>
                                      <m:pos m:val="top"/>
                                    </m:ba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</w:rPr>
                                        <m:t>x</m:t>
                                      </m:r>
                                    </m:e>
                                  </m:ba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num>
                    <m:den>
                      <m:r>
                        <w:rPr>
                          <w:rFonts w:ascii="Cambria Math" w:hAnsi="Cambria Math"/>
                          <w:sz w:val="26"/>
                        </w:rPr>
                        <m:t>n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−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t>1</m:t>
                      </m:r>
                    </m:den>
                  </m:f>
                </m:e>
              </m:rad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Desvio padrão amostral. </w:t>
            </w:r>
            <w:r>
              <w:rPr>
                <w:rFonts w:ascii="Times New Roman" w:hAnsi="Times New Roman"/>
                <w:color w:val="000000"/>
                <w:sz w:val="24"/>
              </w:rPr>
              <w:t>Quantificar a dispersão com a convenção amostral usada no projeto.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sx: desvio padrão amostral de x [unidade de x: °C, m/s, W/m² ou kW]; n: número de observações válidas da variável [1 (contagem)]; xi: observação da variável tabulada [unidade de x: °C, m/s, W/m² ou kW]; x̄: média amostral da variável [unidade de x: °C, m/s, W/m² ou kW];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Integração ou estatística dos dados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E2.03</w:t>
              <w:br/>
              <w:t>2.1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I</m:t>
              </m:r>
              <m:r>
                <w:rPr>
                  <w:rFonts w:ascii="Cambria Math" w:hAnsi="Cambria Math"/>
                  <w:sz w:val="26"/>
                </w:rPr>
                <m:t>Q</m:t>
              </m:r>
              <m:r>
                <w:rPr>
                  <w:rFonts w:ascii="Cambria Math" w:hAnsi="Cambria Math"/>
                  <w:sz w:val="26"/>
                </w:rPr>
                <m:t>R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1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Amplitude interquartil. </w:t>
            </w:r>
            <w:r>
              <w:rPr>
                <w:rFonts w:ascii="Times New Roman" w:hAnsi="Times New Roman"/>
                <w:color w:val="000000"/>
                <w:sz w:val="24"/>
              </w:rPr>
              <w:t>Resumir a dispersão central entre os percentis 25 e 75.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IQR: amplitude interquartil de x [unidade de x: °C, m/s, W/m² ou kW]; Q3: terceiro quartil de x; percentil 75 [unidade de x: °C, m/s, W/m² ou kW]; Q1: primeiro quartil de x; percentil 25 [unidade de x: °C, m/s, W/m² ou kW].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Integração ou estatística dos dados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E2.04</w:t>
              <w:br/>
              <w:t>2.2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s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l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t> </m:t>
              </m:r>
              <m:r>
                <w:rPr>
                  <w:rFonts w:ascii="Cambria Math" w:hAnsi="Cambria Math"/>
                  <w:sz w:val="26"/>
                </w:rPr>
                <m:t>G</m:t>
              </m:r>
              <m:r>
                <w:rPr>
                  <w:rFonts w:ascii="Cambria Math" w:hAnsi="Cambria Math"/>
                  <w:sz w:val="26"/>
                </w:rPr>
                <m:t>H</m:t>
              </m:r>
              <m:r>
                <w:rPr>
                  <w:rFonts w:ascii="Cambria Math" w:hAnsi="Cambria Math"/>
                  <w:sz w:val="26"/>
                </w:rPr>
                <m:t>I</m:t>
              </m:r>
              <m:r>
                <w:rPr>
                  <w:rFonts w:ascii="Cambria Math" w:hAnsi="Cambria Math"/>
                  <w:sz w:val="26"/>
                </w:rPr>
                <m:t> 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6"/>
                    </w:rPr>
                    <m:t>1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−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cos</m:t>
                  </m:r>
                  <m:r>
                    <w:rPr>
                      <w:rFonts w:ascii="Cambria Math" w:hAnsi="Cambria Math"/>
                      <w:sz w:val="26"/>
                    </w:rPr>
                    <m:t>β</m:t>
                  </m:r>
                </m:num>
                <m:den>
                  <m:r>
                    <w:rPr>
                      <w:rFonts w:ascii="Cambria Math" w:hAnsi="Cambria Math"/>
                      <w:sz w:val="26"/>
                    </w:rPr>
                    <m:t>2</m:t>
                  </m:r>
                </m:den>
              </m:f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Reflexão isotrópica do solo. </w:t>
            </w:r>
            <w:r>
              <w:rPr>
                <w:rFonts w:ascii="Times New Roman" w:hAnsi="Times New Roman"/>
                <w:color w:val="000000"/>
                <w:sz w:val="24"/>
              </w:rPr>
              <w:t>Estimar a parcela refletida pelo solo que incide no plano inclinado.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Gsolo: irradiância refletida pelo solo no plano [W/m²]; ρg: albedo assumido para o solo [1 (adimensional)]; GHI: irradiância global horizontal [W/m²]; β: inclinação do plano em relação à horizontal [°].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do notebook</w:t>
              <w:br/>
              <w:t>Transposição exploratória e cenários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R06, R14, R29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E2.05</w:t>
              <w:br/>
              <w:t>2.3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f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6"/>
                    </w:rPr>
                    <m:t>1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−</m:t>
                  </m:r>
                  <m:r>
                    <w:rPr>
                      <w:rFonts w:ascii="Cambria Math" w:hAnsi="Cambria Math"/>
                      <w:sz w:val="26"/>
                    </w:rPr>
                    <m:t>s</m:t>
                  </m:r>
                </m:e>
              </m:d>
              <m:sSub>
                <m:e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Irradiância efetiva. </w:t>
            </w:r>
            <w:r>
              <w:rPr>
                <w:rFonts w:ascii="Times New Roman" w:hAnsi="Times New Roman"/>
                <w:color w:val="000000"/>
                <w:sz w:val="24"/>
              </w:rPr>
              <w:t>Aplicar a hipótese de atenuação adicional à leitura POA.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Gef: irradiância efetiva após atenuação assumida [W/m²]; s: fração de atenuação uniforme assumida [1 (adimensional)]; GPOA: irradiância no plano; medida no modelo principal [W/m²].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do notebook</w:t>
              <w:br/>
              <w:t>Conversão física principal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R28,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E2.06</w:t>
              <w:br/>
              <w:t>2.4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cos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cos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cos</m:t>
              </m:r>
              <m:r>
                <w:rPr>
                  <w:rFonts w:ascii="Cambria Math" w:hAnsi="Cambria Math"/>
                  <w:sz w:val="26"/>
                </w:rPr>
                <m:t>β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sin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sin</m:t>
              </m:r>
              <m:r>
                <w:rPr>
                  <w:rFonts w:ascii="Cambria Math" w:hAnsi="Cambria Math"/>
                  <w:sz w:val="26"/>
                </w:rPr>
                <m:t>β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−</m:t>
                  </m:r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a</m:t>
                      </m:r>
                    </m:sub>
                  </m:sSub>
                </m:e>
              </m:d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Ângulo de incidência. </w:t>
            </w:r>
            <w:r>
              <w:rPr>
                <w:rFonts w:ascii="Times New Roman" w:hAnsi="Times New Roman"/>
                <w:color w:val="000000"/>
                <w:sz w:val="24"/>
              </w:rPr>
              <w:t>Relacionar a geometria do Sol à orientação do plano.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θi: ângulo entre os raios e a normal ao plano [°]; θz: ângulo zenital solar [°]; β: inclinação do plano em relação à horizontal [°]; γs: azimute solar a partir do norte no sentido horário [°]; γa: azimute do plano na mesma convenção [°].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do notebook</w:t>
              <w:br/>
              <w:t>Geometria calculada e seleção de intervalos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R03, R09, R29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E2.07</w:t>
              <w:br/>
              <w:t>2.4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ℓ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t>h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/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tan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s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Projeção geométrica de sombra. </w:t>
            </w:r>
            <w:r>
              <w:rPr>
                <w:rFonts w:ascii="Times New Roman" w:hAnsi="Times New Roman"/>
                <w:color w:val="000000"/>
                <w:sz w:val="24"/>
              </w:rPr>
              <w:t>Ilustrar a projeção horizontal de uma altura sob o Sol.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ℓ: comprimento horizontal da sombra do exemplo [m]; h: altura do obstáculo do exemplo [m]; αs: altura solar positiva acima do horizonte [°].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do notebook</w:t>
              <w:br/>
              <w:t>Fundamentação ou exemplo geométrico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R03, R09, R29</w:t>
            </w:r>
          </w:p>
        </w:tc>
      </w:tr>
    </w:tbl>
    <w:p>
      <w:r>
        <w:t>A reflexão do solo pertence aos cenários de transposição e não deve ser somada novamente à POA medida. A atenuação de sujidade é hipotética. A projeção de sombra é um exemplo geométrico sem dimensões das fileiras reais.</w:t>
      </w:r>
    </w:p>
    <w:p>
      <w:pPr>
        <w:pStyle w:val="Heading1"/>
      </w:pPr>
      <w:r>
        <w:t>Convenções para a redação</w:t>
      </w:r>
    </w:p>
    <w:p>
      <w:r>
        <w:t>Usar o mesmo plano, intervalo e máscara temporal nas comparações. G designa irradiância; H irradiação; P potência e E energia. Cada linha define todas as variáveis da relação. i indexa intervalos ou observações; j indexa perdas ou estágios conforme a linha. As operações soma, produto, média, valor absoluto, mínimo e máximo não são novas variáveis.</w:t>
      </w:r>
    </w:p>
    <w:p>
      <w:r>
        <w:t>Ângulos são declarados em graus. Rotinas trigonométricas que recebem radianos exigem conversão. Azimutes partem do norte no sentido horário.</w:t>
      </w:r>
    </w:p>
    <w:p>
      <w:r>
        <w:t>U0 tem unidade W/(m²·K) e U1 tem W·s/(m³·K), de modo que Gef/(U0+U1v) é diferença de temperatura em K, numericamente igual a °C.</w:t>
      </w:r>
    </w:p>
    <w:p>
      <w:r>
        <w:t>Cada linha conta uma relação. Constantes e parâmetros não entram na contagem. N identifica relações do notebook e C, relações complementares do código; selecionar a inclusão conforme a discussão e o espaço. A numeração final do capítulo será definida na consolidação.</w:t>
      </w:r>
    </w:p>
    <w:p>
      <w:r>
        <w:t>O caso comum é PVDAQ 2107, abril a junho de 2024. As 4401 observações diurnas pareadas não representam todos os intervalos do trimestre. A potência nominal declarada é 893 kWp. O exemplo de associação elétrica e o balanço BIPV são hipóteses identificadas.</w:t>
      </w:r>
    </w:p>
    <w:p>
      <w:pPr>
        <w:pStyle w:val="Heading1"/>
      </w:pPr>
      <w:r>
        <w:t>Origem identificável das equações</w:t>
      </w:r>
    </w:p>
    <w:p>
      <w:r>
        <w:t>src/refinamento_fv.py::analytics  E2.01, E2.02, E2.03</w:t>
      </w:r>
    </w:p>
    <w:p>
      <w:r>
        <w:t>src/projeto_fv.py::transpose  E2.04</w:t>
      </w:r>
    </w:p>
    <w:p>
      <w:r>
        <w:t>src/projeto_fv.py::simulate  E2.05</w:t>
      </w:r>
    </w:p>
    <w:p>
      <w:r>
        <w:t>src/projeto_fv.py::geometry  E2.06</w:t>
      </w:r>
    </w:p>
    <w:p>
      <w:r>
        <w:t>docs/secoes_capitulo.json::2.4  E2.07</w:t>
      </w:r>
    </w:p>
    <w:p>
      <w:r>
        <w:t>As fórmulas N correspondem às células de método das 19 subseções do notebook. Os algoritmos de SPA, CEC e Perez–Driesse, as conversões e os filtros estão no código. Citar as fontes R e explicitar as hipóteses na redação.</w:t>
      </w:r>
    </w:p>
    <w:p>
      <w:r>
        <w:t>Fontes e referências metodológicas R: https://github.com/samuelasroma-byte/SPGER0046_Energias_Renovaveis/blob/main/references/Referencias_do_Projeto.md</w:t>
      </w:r>
    </w:p>
    <w:p>
      <w:r>
        <w:t>Inventário legível com localização e links: https://github.com/samuelasroma-byte/SPGER0046_Energias_Renovaveis/blob/main/docs/equacoes/README.md</w:t>
      </w:r>
    </w:p>
    <w:sectPr w:rsidR="00FC693F" w:rsidRPr="0006063C" w:rsidSect="00034616">
      <w:footerReference w:type="default" r:id="rId9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0"/>
      </w:rPr>
      <w:t xml:space="preserve">SPGER0046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Quadro de equações da seção 2</dc:title>
  <dc:subject>Inventário editorial de equações por seção e subseção</dc:subject>
  <dc:creator>Equipe SPGER0046 PPGER UFPB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