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b/>
          <w:color w:val="000000"/>
          <w:sz w:val="28"/>
        </w:rPr>
        <w:t>Tabelas e quadros da seção 2</w:t>
      </w:r>
    </w:p>
    <w:p>
      <w:r>
        <w:t>Condições ambientais e de entorno da conversão fotovoltaica</w:t>
      </w:r>
    </w:p>
    <w:p>
      <w:r>
        <w:t>Responsáveis pela seção: Vannessa e Thais.</w:t>
      </w:r>
    </w:p>
    <w:p>
      <w:r>
        <w:t>Cada item está associado à subseção indicada. Referências em outras partes do capítulo usam o mesmo ID.</w:t>
      </w:r>
    </w:p>
    <w:p>
      <w:pPr>
        <w:pStyle w:val="Heading1"/>
      </w:pPr>
      <w:r>
        <w:t>Subseção 2.1</w:t>
      </w:r>
    </w:p>
    <w:p>
      <w:pPr>
        <w:keepNext/>
      </w:pPr>
      <w:r>
        <w:rPr>
          <w:b/>
          <w:color w:val="000000"/>
          <w:sz w:val="24"/>
        </w:rPr>
        <w:t>T01  Inserção exclusiva na subseção 2.1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 — Estatística descritiva de posição e dispersão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2770"/>
        <w:gridCol w:w="869"/>
        <w:gridCol w:w="1521"/>
        <w:gridCol w:w="1304"/>
        <w:gridCol w:w="1304"/>
        <w:gridCol w:w="1304"/>
      </w:tblGrid>
      <w:tr>
        <w:trPr>
          <w:tblHeader/>
          <w:cantSplit/>
        </w:trPr>
        <w:tc>
          <w:tcPr>
            <w:tcW w:type="dxa" w:w="2770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Variável e unidade</w:t>
            </w:r>
          </w:p>
        </w:tc>
        <w:tc>
          <w:tcPr>
            <w:tcW w:type="dxa" w:w="86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n</w:t>
            </w:r>
          </w:p>
        </w:tc>
        <w:tc>
          <w:tcPr>
            <w:tcW w:type="dxa" w:w="1521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Cobertura (%)</w:t>
            </w:r>
          </w:p>
        </w:tc>
        <w:tc>
          <w:tcPr>
            <w:tcW w:type="dxa" w:w="130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Média</w:t>
            </w:r>
          </w:p>
        </w:tc>
        <w:tc>
          <w:tcPr>
            <w:tcW w:type="dxa" w:w="130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Mediana</w:t>
            </w:r>
          </w:p>
        </w:tc>
        <w:tc>
          <w:tcPr>
            <w:tcW w:type="dxa" w:w="130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DP</w:t>
            </w:r>
          </w:p>
        </w:tc>
      </w:tr>
      <w:tr>
        <w:trPr>
          <w:cantSplit/>
        </w:trPr>
        <w:tc>
          <w:tcPr>
            <w:tcW w:type="dxa" w:w="277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POA medida (W/m²)</w:t>
            </w:r>
          </w:p>
        </w:tc>
        <w:tc>
          <w:tcPr>
            <w:tcW w:type="dxa" w:w="86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52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99,55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580,72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623,87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331,80</w:t>
            </w:r>
          </w:p>
        </w:tc>
      </w:tr>
      <w:tr>
        <w:trPr>
          <w:cantSplit/>
        </w:trPr>
        <w:tc>
          <w:tcPr>
            <w:tcW w:type="dxa" w:w="277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Temperatura do ar (°C)</w:t>
            </w:r>
          </w:p>
        </w:tc>
        <w:tc>
          <w:tcPr>
            <w:tcW w:type="dxa" w:w="86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52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99,55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24,54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25,17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6,44</w:t>
            </w:r>
          </w:p>
        </w:tc>
      </w:tr>
      <w:tr>
        <w:trPr>
          <w:cantSplit/>
        </w:trPr>
        <w:tc>
          <w:tcPr>
            <w:tcW w:type="dxa" w:w="277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Velocidade do vento (m/s)</w:t>
            </w:r>
          </w:p>
        </w:tc>
        <w:tc>
          <w:tcPr>
            <w:tcW w:type="dxa" w:w="86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52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99,55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2,96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2,59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1,61</w:t>
            </w:r>
          </w:p>
        </w:tc>
      </w:tr>
      <w:tr>
        <w:trPr>
          <w:cantSplit/>
        </w:trPr>
        <w:tc>
          <w:tcPr>
            <w:tcW w:type="dxa" w:w="277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Temperatura operacional estimada (°C)</w:t>
            </w:r>
          </w:p>
        </w:tc>
        <w:tc>
          <w:tcPr>
            <w:tcW w:type="dxa" w:w="86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52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99,55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37,82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38,63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12,36</w:t>
            </w:r>
          </w:p>
        </w:tc>
      </w:tr>
      <w:tr>
        <w:trPr>
          <w:cantSplit/>
        </w:trPr>
        <w:tc>
          <w:tcPr>
            <w:tcW w:type="dxa" w:w="277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Potência AC observada (kW)</w:t>
            </w:r>
          </w:p>
        </w:tc>
        <w:tc>
          <w:tcPr>
            <w:tcW w:type="dxa" w:w="86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52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99,55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410,82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456,32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217,74</w:t>
            </w:r>
          </w:p>
        </w:tc>
      </w:tr>
      <w:tr>
        <w:trPr>
          <w:cantSplit/>
        </w:trPr>
        <w:tc>
          <w:tcPr>
            <w:tcW w:type="dxa" w:w="2770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Potência AC simulada (kW)</w:t>
            </w:r>
          </w:p>
        </w:tc>
        <w:tc>
          <w:tcPr>
            <w:tcW w:type="dxa" w:w="86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52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99,55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442,59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495,98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238,65</w:t>
            </w:r>
          </w:p>
        </w:tc>
      </w:tr>
      <w:tr>
        <w:trPr>
          <w:cantSplit/>
        </w:trPr>
        <w:tc>
          <w:tcPr>
            <w:tcW w:type="dxa" w:w="2770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Resíduo simulado − observado (kW)</w:t>
            </w:r>
          </w:p>
        </w:tc>
        <w:tc>
          <w:tcPr>
            <w:tcW w:type="dxa" w:w="86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4401</w:t>
            </w:r>
          </w:p>
        </w:tc>
        <w:tc>
          <w:tcPr>
            <w:tcW w:type="dxa" w:w="1521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99,55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31,77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38,86</w:t>
            </w:r>
          </w:p>
        </w:tc>
        <w:tc>
          <w:tcPr>
            <w:tcW w:type="dxa" w:w="130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52,77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Mesmos 4.401 pares diurnos; 4.421 intervalos esperados pelo critério solar. DP amostral com ddof=1. A cobertura é conjunta, não a cobertura individual de cada sensor.</w:t>
      </w:r>
    </w:p>
    <w:p>
      <w:pPr>
        <w:keepNext/>
      </w:pPr>
      <w:r>
        <w:rPr>
          <w:b/>
          <w:color w:val="000000"/>
          <w:sz w:val="24"/>
        </w:rPr>
        <w:t>T02  Inserção exclusiva na subseção 2.1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2 — Extremos e quartis dos mesmos pares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3024"/>
        <w:gridCol w:w="1209"/>
        <w:gridCol w:w="1209"/>
        <w:gridCol w:w="1209"/>
        <w:gridCol w:w="1209"/>
        <w:gridCol w:w="1209"/>
      </w:tblGrid>
      <w:tr>
        <w:trPr>
          <w:tblHeader/>
          <w:cantSplit/>
        </w:trPr>
        <w:tc>
          <w:tcPr>
            <w:tcW w:type="dxa" w:w="302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Variável e unidade</w:t>
            </w:r>
          </w:p>
        </w:tc>
        <w:tc>
          <w:tcPr>
            <w:tcW w:type="dxa" w:w="120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Mínimo</w:t>
            </w:r>
          </w:p>
        </w:tc>
        <w:tc>
          <w:tcPr>
            <w:tcW w:type="dxa" w:w="120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Q1</w:t>
            </w:r>
          </w:p>
        </w:tc>
        <w:tc>
          <w:tcPr>
            <w:tcW w:type="dxa" w:w="120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Q3</w:t>
            </w:r>
          </w:p>
        </w:tc>
        <w:tc>
          <w:tcPr>
            <w:tcW w:type="dxa" w:w="120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Máximo</w:t>
            </w:r>
          </w:p>
        </w:tc>
        <w:tc>
          <w:tcPr>
            <w:tcW w:type="dxa" w:w="120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IQR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POA medida (W/m²)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7,00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264,60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897,83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1298,00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633,23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Temperatura do ar (°C)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4,83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20,61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29,33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38,83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8,72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Velocidade do vento (m/s)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0,45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1,79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3,71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8,76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1,92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Temperatura operacional estimada (°C)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6,32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28,50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47,64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64,41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19,14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Potência AC observada (kW)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0,00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213,76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611,84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705,92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398,08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Potência AC simulada (kW)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1,13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221,91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673,80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720,00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451,89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Resíduo simulado − observado (kW)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-225,47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-2,65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65,95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348,16</w:t>
            </w:r>
          </w:p>
        </w:tc>
        <w:tc>
          <w:tcPr>
            <w:tcW w:type="dxa" w:w="120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68,59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IQR=Q3−Q1. A moda não foi incluída para variáveis contínuas.</w:t>
      </w:r>
    </w:p>
    <w:p>
      <w:pPr>
        <w:pStyle w:val="Heading1"/>
        <w:pageBreakBefore/>
      </w:pPr>
      <w:r>
        <w:t>Subseção 2.2</w:t>
      </w:r>
    </w:p>
    <w:p>
      <w:pPr>
        <w:keepNext/>
      </w:pPr>
      <w:r>
        <w:rPr>
          <w:b/>
          <w:color w:val="000000"/>
          <w:sz w:val="24"/>
        </w:rPr>
        <w:t>T14  Inserção exclusiva na subseção 2.2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14 — Albedo e geometrias com componentes estimadas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6047"/>
        <w:gridCol w:w="3024"/>
      </w:tblGrid>
      <w:tr>
        <w:trPr>
          <w:tblHeader/>
          <w:cantSplit/>
        </w:trPr>
        <w:tc>
          <w:tcPr>
            <w:tcW w:type="dxa" w:w="6047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Cenário</w:t>
            </w:r>
          </w:p>
        </w:tc>
        <w:tc>
          <w:tcPr>
            <w:tcW w:type="dxa" w:w="3024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H POA estimada (kWh/m²)</w:t>
            </w:r>
          </w:p>
        </w:tc>
      </w:tr>
      <w:tr>
        <w:trPr>
          <w:cantSplit/>
        </w:trPr>
        <w:tc>
          <w:tcPr>
            <w:tcW w:type="dxa" w:w="604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Albedo 0.1 (hipótese)</w:t>
            </w:r>
          </w:p>
        </w:tc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631,953</w:t>
            </w:r>
          </w:p>
        </w:tc>
      </w:tr>
      <w:tr>
        <w:trPr>
          <w:cantSplit/>
        </w:trPr>
        <w:tc>
          <w:tcPr>
            <w:tcW w:type="dxa" w:w="604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Albedo 0.2 (hipótese)</w:t>
            </w:r>
          </w:p>
        </w:tc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634,817</w:t>
            </w:r>
          </w:p>
        </w:tc>
      </w:tr>
      <w:tr>
        <w:trPr>
          <w:cantSplit/>
        </w:trPr>
        <w:tc>
          <w:tcPr>
            <w:tcW w:type="dxa" w:w="604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Albedo 0.4 (hipótese)</w:t>
            </w:r>
          </w:p>
        </w:tc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640,547</w:t>
            </w:r>
          </w:p>
        </w:tc>
      </w:tr>
      <w:tr>
        <w:trPr>
          <w:cantSplit/>
        </w:trPr>
        <w:tc>
          <w:tcPr>
            <w:tcW w:type="dxa" w:w="604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Horizontal</w:t>
            </w:r>
          </w:p>
        </w:tc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611,513</w:t>
            </w:r>
          </w:p>
        </w:tc>
      </w:tr>
      <w:tr>
        <w:trPr>
          <w:cantSplit/>
        </w:trPr>
        <w:tc>
          <w:tcPr>
            <w:tcW w:type="dxa" w:w="604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Arranjo real: 25°, sul</w:t>
            </w:r>
          </w:p>
        </w:tc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634,817</w:t>
            </w:r>
          </w:p>
        </w:tc>
      </w:tr>
      <w:tr>
        <w:trPr>
          <w:cantSplit/>
        </w:trPr>
        <w:tc>
          <w:tcPr>
            <w:tcW w:type="dxa" w:w="604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Fachada sul</w:t>
            </w:r>
          </w:p>
        </w:tc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281,991</w:t>
            </w:r>
          </w:p>
        </w:tc>
      </w:tr>
      <w:tr>
        <w:trPr>
          <w:cantSplit/>
        </w:trPr>
        <w:tc>
          <w:tcPr>
            <w:tcW w:type="dxa" w:w="6047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Fachada leste</w:t>
            </w:r>
          </w:p>
        </w:tc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269,976</w:t>
            </w:r>
          </w:p>
        </w:tc>
      </w:tr>
      <w:tr>
        <w:trPr>
          <w:cantSplit/>
        </w:trPr>
        <w:tc>
          <w:tcPr>
            <w:tcW w:type="dxa" w:w="6047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Fachada oeste</w:t>
            </w:r>
          </w:p>
        </w:tc>
        <w:tc>
          <w:tcPr>
            <w:tcW w:type="dxa" w:w="3024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339,674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Mesmas 1.037 horas elegíveis da inversão; não é irradiação integral do trimestre. Sensibilidade de albedo mantendo componentes estimadas com referência 0,20. R14–R16 e R29.</w:t>
      </w:r>
    </w:p>
    <w:p>
      <w:pPr>
        <w:pStyle w:val="Heading1"/>
        <w:pageBreakBefore/>
      </w:pPr>
      <w:r>
        <w:t>Subseção 2.3</w:t>
      </w:r>
    </w:p>
    <w:p>
      <w:pPr>
        <w:keepNext/>
      </w:pPr>
      <w:r>
        <w:rPr>
          <w:b/>
          <w:color w:val="000000"/>
          <w:sz w:val="24"/>
        </w:rPr>
        <w:t>T12  Inserção exclusiva na subseção 2.3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Tabela 12 — Sensibilidade de sujidade e ventilação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000000"/>
          <w:left w:val="nil" w:sz="12" w:color="000000"/>
          <w:bottom w:val="single" w:sz="12" w:color="000000"/>
          <w:right w:val="nil" w:sz="12" w:color="000000"/>
          <w:insideH w:val="nil" w:sz="12" w:color="000000"/>
          <w:insideV w:val="nil" w:sz="12" w:color="000000"/>
        </w:tblBorders>
      </w:tblPr>
      <w:tblGrid>
        <w:gridCol w:w="2341"/>
        <w:gridCol w:w="4389"/>
        <w:gridCol w:w="2341"/>
      </w:tblGrid>
      <w:tr>
        <w:trPr>
          <w:tblHeader/>
          <w:cantSplit/>
        </w:trPr>
        <w:tc>
          <w:tcPr>
            <w:tcW w:type="dxa" w:w="2341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Sujidade assumida (%)</w:t>
            </w:r>
          </w:p>
        </w:tc>
        <w:tc>
          <w:tcPr>
            <w:tcW w:type="dxa" w:w="4389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Condição térmica</w:t>
            </w:r>
          </w:p>
        </w:tc>
        <w:tc>
          <w:tcPr>
            <w:tcW w:type="dxa" w:w="2341"/>
            <w:vAlign w:val="center"/>
            <w:tcBorders>
              <w:top w:val="single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Energia AC (MWh)</w:t>
            </w:r>
          </w:p>
        </w:tc>
      </w:tr>
      <w:tr>
        <w:trPr>
          <w:cantSplit/>
        </w:trPr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</w:t>
            </w:r>
          </w:p>
        </w:tc>
        <w:tc>
          <w:tcPr>
            <w:tcW w:type="dxa" w:w="438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Ventilação de referência</w:t>
            </w:r>
          </w:p>
        </w:tc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486,955</w:t>
            </w:r>
          </w:p>
        </w:tc>
      </w:tr>
      <w:tr>
        <w:trPr>
          <w:cantSplit/>
        </w:trPr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0</w:t>
            </w:r>
          </w:p>
        </w:tc>
        <w:tc>
          <w:tcPr>
            <w:tcW w:type="dxa" w:w="438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Menor ventilação, cenário</w:t>
            </w:r>
          </w:p>
        </w:tc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455,193</w:t>
            </w:r>
          </w:p>
        </w:tc>
      </w:tr>
      <w:tr>
        <w:trPr>
          <w:cantSplit/>
        </w:trPr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</w:t>
            </w:r>
          </w:p>
        </w:tc>
        <w:tc>
          <w:tcPr>
            <w:tcW w:type="dxa" w:w="438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Ventilação de referência</w:t>
            </w:r>
          </w:p>
        </w:tc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479,859</w:t>
            </w:r>
          </w:p>
        </w:tc>
      </w:tr>
      <w:tr>
        <w:trPr>
          <w:cantSplit/>
        </w:trPr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</w:t>
            </w:r>
          </w:p>
        </w:tc>
        <w:tc>
          <w:tcPr>
            <w:tcW w:type="dxa" w:w="438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Menor ventilação, cenário</w:t>
            </w:r>
          </w:p>
        </w:tc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448,212</w:t>
            </w:r>
          </w:p>
        </w:tc>
      </w:tr>
      <w:tr>
        <w:trPr>
          <w:cantSplit/>
        </w:trPr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</w:t>
            </w:r>
          </w:p>
        </w:tc>
        <w:tc>
          <w:tcPr>
            <w:tcW w:type="dxa" w:w="4389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Ventilação de referência</w:t>
            </w:r>
          </w:p>
        </w:tc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nil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468,477</w:t>
            </w:r>
          </w:p>
        </w:tc>
      </w:tr>
      <w:tr>
        <w:trPr>
          <w:cantSplit/>
        </w:trPr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5</w:t>
            </w:r>
          </w:p>
        </w:tc>
        <w:tc>
          <w:tcPr>
            <w:tcW w:type="dxa" w:w="4389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Menor ventilação, cenário</w:t>
            </w:r>
          </w:p>
        </w:tc>
        <w:tc>
          <w:tcPr>
            <w:tcW w:type="dxa" w:w="2341"/>
            <w:vAlign w:val="center"/>
            <w:tcBorders>
              <w:top w:val="nil" w:sz="12" w:color="000000"/>
              <w:left w:val="nil" w:sz="12" w:color="000000"/>
              <w:bottom w:val="single" w:sz="12" w:color="000000"/>
              <w:right w:val="nil" w:sz="12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437,403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Atenuação adicional do módulo relativamente à leitura POA. Não é perda de sujeira medida. Mesmos pares da cadeia principal. R07 e R28.</w:t>
      </w:r>
    </w:p>
    <w:p>
      <w:pPr>
        <w:pStyle w:val="Heading1"/>
        <w:pageBreakBefore/>
      </w:pPr>
      <w:r>
        <w:t>Subseção 2.4</w:t>
      </w:r>
    </w:p>
    <w:p>
      <w:pPr>
        <w:keepNext/>
      </w:pPr>
      <w:r>
        <w:rPr>
          <w:b/>
          <w:color w:val="000000"/>
          <w:sz w:val="24"/>
        </w:rPr>
        <w:t>Q04  Inserção exclusiva na subseção 2.4</w:t>
      </w:r>
    </w:p>
    <w:p>
      <w:pPr>
        <w:keepNext/>
        <w:spacing w:line="240" w:lineRule="auto" w:before="120" w:after="12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4"/>
          <w:szCs w:val="24"/>
        </w:rPr>
        <w:t>Quadro 4 — Ambiente e instalação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007"/>
        <w:gridCol w:w="3007"/>
        <w:gridCol w:w="3058"/>
      </w:tblGrid>
      <w:tr>
        <w:trPr>
          <w:tblHeader/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Subseção e responsável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Entregas e evidência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Limite e referências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2.1 Condições térmicas</w:t>
              <w:br/>
              <w:t>Vannessa e Thais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Estatística ambiental e sensibilidade de ventilação.</w:t>
              <w:br/>
              <w:t>Evidência: Medições ambientais e temperatura estimada.</w:t>
              <w:br/>
              <w:t>Figuras: G03.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U₀ e U₁ genéricos; T operacional é aproximação de célula, sem validação térmica independente.</w:t>
              <w:br/>
              <w:t>Fontes: R07.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2.2 Albedo e ambiente radiativo da superfície</w:t>
              <w:br/>
              <w:t>Vannessa e Thais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Sensibilidade de albedo e quadro de hipóteses.</w:t>
              <w:br/>
              <w:t>Evidência: Cenário de sensibilidade.</w:t>
              <w:br/>
              <w:t>Figuras: G22.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Expressão isotrópica para reflexão do solo. Não há albedo medido; a leitura POA principal não recebe uma segunda contribuição refletida.</w:t>
              <w:br/>
              <w:t>Fontes: R06, R14, R29.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2.3 Sombreamento sujidade e obstruções locais</w:t>
              <w:br/>
              <w:t>Vannessa e Thais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Sensibilidade e alertas sem atribuição causal automática.</w:t>
              <w:br/>
              <w:t>Evidência: Sensibilidade hipotética e fundamentos.</w:t>
              <w:br/>
              <w:t>Figuras: G20.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Sem histórico de limpeza e mapa de sombras; o resíduo não identifica a perda real de sujidade ou sombra.</w:t>
              <w:br/>
              <w:t>Fontes: R28, R25.</w:t>
            </w:r>
          </w:p>
        </w:tc>
      </w:tr>
      <w:tr>
        <w:trPr>
          <w:cantSplit/>
        </w:trPr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2.4 Geometria de instalação e exposição do arranjo fotovoltaico</w:t>
              <w:br/>
              <w:t>Vannessa e Thais</w:t>
            </w:r>
          </w:p>
        </w:tc>
        <w:tc>
          <w:tcPr>
            <w:tcW w:type="dxa" w:w="300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Convenções geométricas e limite de dados de espaçamento.</w:t>
              <w:br/>
              <w:t>Evidência: Geometria documentada e extensão didática.</w:t>
              <w:br/>
              <w:t>Figuras: F01.</w:t>
            </w:r>
          </w:p>
        </w:tc>
        <w:tc>
          <w:tcPr>
            <w:tcW w:type="dxa" w:w="305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keepNext/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4"/>
                <w:szCs w:val="24"/>
              </w:rPr>
              <w:t>A expressão de projeção é um exemplo plano sem dimensão de fileira real; não calcula o sombreamento específico da usina.</w:t>
              <w:br/>
              <w:t>Fontes: R03, R09, R29.</w:t>
            </w:r>
          </w:p>
        </w:tc>
      </w:tr>
    </w:tbl>
    <w:p>
      <w:pPr>
        <w:keepNext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Fonte: elaboração da equipe a partir de dados do PVDAQ, sistema 2107 (2026).</w:t>
      </w:r>
    </w:p>
    <w:p>
      <w:pPr>
        <w:keepNext w:val="0"/>
        <w:keepLines/>
        <w:spacing w:line="240" w:lineRule="auto" w:before="0" w:after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4"/>
          <w:szCs w:val="24"/>
        </w:rPr>
        <w:t>Nota: A matriz CSV e Markdown contém também objetivos, entradas e métodos. Cobertura didática não significa validação independente de cada etapa.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701" w:right="1134" w:bottom="1134" w:left="1701" w:header="113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right"/>
    </w:pPr>
    <w:fldSimple w:instr="PAGE">
      <w:r>
        <w:rPr>
          <w:rFonts w:ascii="Times New Roman" w:hAnsi="Times New Roman" w:eastAsia="Times New Roman" w:cs="Times New Roman"/>
          <w:sz w:val="24"/>
          <w:szCs w:val="24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240" w:line="240" w:lineRule="auto" w:before="240"/>
      <w:ind w:firstLine="0" w:left="0" w:right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240" w:line="240" w:lineRule="auto"/>
      <w:ind w:firstLine="0" w:left="0" w:right="0"/>
      <w:jc w:val="left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40" w:lineRule="auto" w:before="240"/>
      <w:ind w:firstLine="0" w:left="0" w:right="0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widowControl/>
      <w:spacing w:after="0" w:line="360" w:lineRule="auto" w:before="0"/>
      <w:ind w:firstLine="709" w:left="0" w:right="0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widowControl/>
      <w:spacing w:line="240" w:lineRule="auto" w:before="240" w:after="240"/>
      <w:ind w:firstLine="0" w:left="0" w:right="0"/>
      <w:jc w:val="left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  <w:szCs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  <w:szCs w:val="24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  <w:szCs w:val="24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ênciaABNT">
    <w:name w:val="Referência ABNT"/>
    <w:basedOn w:val="Normal"/>
    <w:pPr>
      <w:keepLines/>
      <w:widowControl/>
      <w:spacing w:line="240" w:lineRule="auto" w:before="0" w:after="240"/>
      <w:ind w:left="709" w:hanging="709"/>
      <w:jc w:val="left"/>
    </w:pPr>
    <w:rPr>
      <w:rFonts w:ascii="Times New Roman" w:hAnsi="Times New Roman" w:eastAsia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Tabelas e quadros da seção 2</dc:title>
  <dc:subject>Farm Solar Array PVDAQ 2107 abril a junho de 2024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