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nferência-científica-da-seção-1"/>
    <w:p>
      <w:pPr>
        <w:pStyle w:val="Heading1"/>
        <w:widowControl/>
      </w:pPr>
      <w:r>
        <w:rPr>
          <w:b/>
        </w:rPr>
        <w:t>CONFERÊNCIA CIENTÍFICA DA SEÇÃO 1</w:t>
      </w:r>
    </w:p>
    <w:p>
      <w:pPr>
        <w:pStyle w:val="FirstParagraph"/>
        <w:widowControl/>
        <w:ind w:firstLine="0"/>
        <w:jc w:val="left"/>
      </w:pPr>
      <w:r>
        <w:rPr>
          <w:rFonts w:ascii="Times New Roman" w:hAnsi="Times New Roman"/>
          <w:i w:val="0"/>
        </w:rPr>
        <w:t xml:space="preserve">Samuel Constantino Teixeira — PPGER/UFPB — 27 de outubro de 2026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As 39 afirmações da matriz foram confrontadas com as páginas indicadas, as equações, as convenções e os limites de uso. O confronto sustenta a redação com as qualificações registradas: 16 relações diretas, 18 relações diretas com restrições, uma com derivação matemática e quatro com inferência explicitada. A leitura foi assistida por IA; não corresponde a revisão por pares, leitura integral dos livros ou aplicação integral do ProKnow-C.</w:t>
      </w:r>
    </w:p>
    <w:bookmarkStart w:id="20" w:name="correções-físicas-e-bibliográficas"/>
    <w:p>
      <w:pPr>
        <w:pStyle w:val="Heading2"/>
        <w:widowControl/>
      </w:pPr>
      <w:r>
        <w:rPr>
          <w:b/>
        </w:rPr>
        <w:t>CORREÇÕES FÍSICAS E BIBLIOGRÁFICAS</w:t>
      </w:r>
    </w:p>
    <w:p>
      <w:pPr>
        <w:pStyle w:val="FirstParagraph"/>
        <w:widowControl/>
      </w:pPr>
      <w:r>
        <w:rPr>
          <w:rFonts w:ascii="Times New Roman" w:hAnsi="Times New Roman"/>
          <w:i w:val="0"/>
        </w:rPr>
        <w:t xml:space="preserve">A convenção azimutal do capítulo parte do norte e cresce no sentido horário. O livro de Duffie, Beckman e Blair parte do sul; a conversão foi explicitada como Aₛ = (γₛ + 180°) mod 360°. O símbolo Aₛ identifica o azimute nos diagramas. No zênite a projeção horizontal se anula e o azimute é indefinido.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A aproximação secante para massa de ar recebeu o domínio indicado no livro: nível do mar e zenitais de até aproximadamente 70°. O critério NOAA de 90,833° para nascer e pôr do Sol inclui refração e tamanho angular do disco; não substitui o recorte geométrico da projeção extraterrestre.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O coeficiente de cos(2B) é 0,000719 no pvlib 0.16.1 executado, enquanto o exemplar do livro imprime 0,00719 na p. 9. A implementação mantém o coeficiente do software e o denominador 365, inclusive no ano bissexto, com a divergência registrada. O SPA calcula posição; Spencer calcula irradiância extraterrestre.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A reprodução da Tabela A5.1 do SPA foi conferida contra o arredondamento a cinco casas decimais, com tolerância de 0,000005°. Essa tolerância é numérica e não expressa a incerteza do sensor ou a exatidão das entradas PVDAQ.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GHI, DNI e DHI foram delimitadas ao campo solar de ondas curtas e a planos, bandas e intervalos compatíveis. A soma discreta de médias para obter irradiação foi identificada como derivação da integral. Reconstituir componentes e reproduzir a POA de entrada não as valida como observações independentes. Driesse, Jensen e Perez (2024, pp. 9–11) distinguem testes da solução inversa com alvos modelados e comparação com observações.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Inferências sobre umidade superficial e água precipitável, resolução de pixel e exatidão, e interpolação temporal foram separadas das definições diretamente documentadas. Uma montagem fixa não oferece todas as componentes independentes; sistemas de sombra rotativa alternam medidas e calculam DNI. A POA isolada restringe certos testes de qualidade, mas não impede controles de cadência, lacunas e disponibilidade.</w:t>
      </w:r>
    </w:p>
    <w:bookmarkEnd w:id="20"/>
    <w:bookmarkStart w:id="21" w:name="decisões-sobre-as-fontes"/>
    <w:p>
      <w:pPr>
        <w:pStyle w:val="Heading2"/>
        <w:widowControl/>
      </w:pPr>
      <w:r>
        <w:rPr>
          <w:b/>
        </w:rPr>
        <w:t>DECISÕES SOBRE AS FONTES</w:t>
      </w:r>
    </w:p>
    <w:p>
      <w:pPr>
        <w:pStyle w:val="FirstParagraph"/>
        <w:widowControl/>
      </w:pPr>
      <w:r>
        <w:rPr>
          <w:rFonts w:ascii="Times New Roman" w:hAnsi="Times New Roman"/>
          <w:i w:val="0"/>
        </w:rPr>
        <w:t xml:space="preserve">B11 passou por leitura das pp. 1 e 9–11. O README oficial B27 foi lido. A autoria e o DOI de B24 foram confirmados na p. 25 de material institucional DOE/NREL de 2024, mantendo a indicação de que o destino DOI não estava acessível. O arquivo B36/2021 foi inspecionado e excluído como prova devido a defeitos de representação; a quarta edição A045 foi lida e registrada separadamente. B19 e B20 permanecem no catálogo histórico, sem uso como prova nesta versão.</w:t>
      </w:r>
    </w:p>
    <w:bookmarkEnd w:id="21"/>
    <w:bookmarkStart w:id="22" w:name="rastreabilidade-e-arquivos-editáveis"/>
    <w:p>
      <w:pPr>
        <w:pStyle w:val="Heading2"/>
        <w:widowControl/>
      </w:pPr>
      <w:r>
        <w:rPr>
          <w:b/>
        </w:rPr>
        <w:t>RASTREABILIDADE E ARQUIVOS EDITÁVEIS</w:t>
      </w:r>
    </w:p>
    <w:p>
      <w:pPr>
        <w:pStyle w:val="FirstParagraph"/>
        <w:widowControl/>
      </w:pPr>
      <w:r>
        <w:rPr>
          <w:rFonts w:ascii="Times New Roman" w:hAnsi="Times New Roman"/>
          <w:i w:val="0"/>
        </w:rPr>
        <w:t xml:space="preserve">Confronto_Cientifico_39_Evidencias.csv e a aba Confronto_Cientifico da planilha contêm afirmação, página, classificação, justificativa, consequência editorial e hashes. O notebook executa verificações de integridade e relações físicas e exporta os DOCX editáveis. Reexecutar o código não simula uma nova leitura intelectual das referências. PDFs integrais de terceiros permanecem no acervo autorizado.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Os manuscritos estão em Times New Roman, com equações nativas do Word. Os PDFs de texto são exportados por LibreOffice. Os slides são compilados em Beamer com XeLaTeX; PDF e PPTX compartilham o conteúdo declarado, sem sincronização bidirecional. Diagramas, equações e gráficos dos seis quadros usam fundo preto opaco, textos brancos e destaques amarelos/cianos. O PPTX inclui vetores e imagens PNG válidas para compatibilidade.</w:t>
      </w:r>
    </w:p>
    <w:bookmarkEnd w:id="22"/>
    <w:bookmarkEnd w:id="23"/>
    <w:sectPr>
      <w:headerReference r:id="rId9" w:type="default"/>
      <w:pgSz w:h="16838" w:w="11906"/>
      <w:pgMar w:bottom="1134" w:header="1134" w:left="1701" w:right="1134" w:top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22"/>
      </w:rPr>
    </w:r>
    <w:fldSimple w:instr="PAGE"/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 w:line="324" w:lineRule="auto"/>
      <w:ind w:firstLine="709"/>
      <w:jc w:val="both"/>
    </w:pPr>
    <w:rPr>
      <w:rFonts w:ascii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qFormat/>
    <w:pPr>
      <w:spacing w:after="140" w:before="180" w:line="324" w:lineRule="auto"/>
      <w:ind w:firstLine="709"/>
      <w:jc w:val="both"/>
    </w:pPr>
    <w:rPr>
      <w:rFonts w:ascii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40" w:line="324" w:lineRule="auto"/>
      <w:ind w:firstLine="709"/>
      <w:jc w:val="both"/>
    </w:pPr>
    <w:rPr>
      <w:rFonts w:ascii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60" w:before="240"/>
      <w:ind w:firstLine="0"/>
      <w:jc w:val="center"/>
    </w:pPr>
    <w:rPr>
      <w:rFonts w:ascii="Times New Roman" w:asciiTheme="majorHAnsi" w:cstheme="majorBidi" w:eastAsiaTheme="majorEastAsia" w:hAnsi="Times New Roman" w:hAnsiTheme="majorHAnsi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Heading1" w:type="paragraph">
    <w:name w:val="heading 1"/>
    <w:pPr>
      <w:keepNext/>
      <w:spacing w:after="160" w:before="240"/>
      <w:ind w:firstLine="0"/>
    </w:pPr>
    <w:rPr>
      <w:rFonts w:ascii="Times New Roman" w:hAnsi="Times New Roman"/>
      <w:b/>
      <w:i w:val="0"/>
      <w:color w:val="000000"/>
      <w:sz w:val="32"/>
    </w:rPr>
  </w:style>
  <w:style w:customStyle="1" w:styleId="Heading2" w:type="paragraph">
    <w:name w:val="heading 2"/>
    <w:pPr>
      <w:keepNext/>
      <w:spacing w:after="160" w:before="240"/>
      <w:ind w:firstLine="0"/>
    </w:pPr>
    <w:rPr>
      <w:rFonts w:ascii="Times New Roman" w:hAnsi="Times New Roman"/>
      <w:b/>
      <w:i w:val="0"/>
      <w:color w:val="000000"/>
      <w:sz w:val="28"/>
    </w:rPr>
  </w:style>
  <w:style w:customStyle="1" w:styleId="Heading3" w:type="paragraph">
    <w:name w:val="heading 3"/>
    <w:pPr>
      <w:keepNext/>
      <w:spacing w:after="160" w:before="240"/>
      <w:ind w:firstLine="0"/>
    </w:pPr>
    <w:rPr>
      <w:rFonts w:ascii="Times New Roman" w:hAnsi="Times New Roman"/>
      <w:b/>
      <w:i w:val="0"/>
      <w:color w:val="000000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2026-10-27T18:06:16Z</dcterms:created>
  <dcterms:modified xsi:type="dcterms:W3CDTF">2026-10-27T18:06:16Z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