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41be9165729c396207ed2594ece229ca47a3ad"/>
    <w:p>
      <w:pPr>
        <w:pStyle w:val="Heading1"/>
        <w:widowControl/>
      </w:pPr>
      <w:r>
        <w:rPr>
          <w:b/>
        </w:rPr>
        <w:t>1.2 GRANDEZAS RADIOMÉTRICAS E COMPONENTES DA RADIAÇÃO</w:t>
      </w:r>
    </w:p>
    <w:bookmarkStart w:id="20" w:name="irradiância-e-irradiação"/>
    <w:p>
      <w:pPr>
        <w:pStyle w:val="Heading2"/>
        <w:widowControl/>
      </w:pPr>
      <w:r>
        <w:rPr>
          <w:b/>
        </w:rPr>
        <w:t>1.2.1 IRRADIÂNCIA E IRRADIAÇÃO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A descrição do recurso solar exige identificar a grandeza física, o plano de referência e o intervalo temporal a que cada valor se refere. A irradiância corresponde à potência radiante incidente por unidade de área, expressa em watt por metro quadrado (W/m²). A irradiação representa a energia radiante recebida por unidade de área durante um intervalo definido, expressa no Sistema Internacional em joule por metro quadrado (J/m²). O uso de Wh/m² ou kWh/m² é conveniente em aplicações energéticas, desde que o intervalo de integração seja explicitado. Assim, irradiância e irradiação descrevem aspectos relacionados do recurso, mas não podem ser substituídas uma pela outra em equações ou eixos gráficos (DUFFIE; BECKMAN; BLAIR, 2020, p. 10).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Se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t>G</m:t>
        </m:r>
        <m:d>
          <m:dPr>
            <m:begChr m:val="("/>
            <m:endChr m:val=")"/>
            <m:sepChr m:val=""/>
            <m:grow/>
          </m:dPr>
          <m:e>
            <m:r>
              <w:rPr>
                <w:sz w:val="28"/>
              </w:rPr>
              <m:t>t</m:t>
            </m:r>
          </m:e>
        </m:d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representa a irradiância no plano considerado, a irradiação entre os instantes</w:t>
      </w:r>
      <w:r>
        <w:rPr>
          <w:rFonts w:ascii="Times New Roman" w:hAnsi="Times New Roman"/>
          <w:i w:val="0"/>
        </w:rPr>
        <w:t xml:space="preserve"> </w:t>
      </w:r>
      <m:oMath>
        <m:sSub>
          <m:e>
            <m:r>
              <w:rPr>
                <w:sz w:val="28"/>
              </w:rPr>
              <m:t>t</m:t>
            </m:r>
          </m:e>
          <m:sub>
            <m:r>
              <w:rPr>
                <w:sz w:val="28"/>
              </w:rPr>
              <m:t>1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e</w:t>
      </w:r>
      <w:r>
        <w:rPr>
          <w:rFonts w:ascii="Times New Roman" w:hAnsi="Times New Roman"/>
          <w:i w:val="0"/>
        </w:rPr>
        <w:t xml:space="preserve"> </w:t>
      </w:r>
      <m:oMath>
        <m:sSub>
          <m:e>
            <m:r>
              <w:rPr>
                <w:sz w:val="28"/>
              </w:rPr>
              <m:t>t</m:t>
            </m:r>
          </m:e>
          <m:sub>
            <m:r>
              <w:rPr>
                <w:sz w:val="28"/>
              </w:rPr>
              <m:t>2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é</w:t>
      </w:r>
    </w:p>
    <w:p>
      <w:pPr>
        <w:pStyle w:val="BodyText"/>
        <w:widowControl/>
        <w:spacing w:before="120" w:after="140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sz w:val="32"/>
                </w:rPr>
                <m:t>H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w:rPr>
                          <w:sz w:val="32"/>
                        </w:rPr>
                        <m:t>t</m:t>
                      </m:r>
                    </m:e>
                    <m:sub>
                      <m:r>
                        <w:rPr>
                          <w:sz w:val="32"/>
                        </w:rPr>
                        <m:t>1</m:t>
                      </m:r>
                    </m:sub>
                  </m:sSub>
                  <m:r>
                    <w:rPr>
                      <w:sz w:val="32"/>
                    </w:rPr>
                    <m:rPr>
                      <m:sty m:val="p"/>
                    </m:rPr>
                    <m:t>,</m:t>
                  </m:r>
                  <m:sSub>
                    <m:e>
                      <m:r>
                        <w:rPr>
                          <w:sz w:val="32"/>
                        </w:rPr>
                        <m:t>t</m:t>
                      </m:r>
                    </m:e>
                    <m:sub>
                      <m:r>
                        <w:rPr>
                          <w:sz w:val="32"/>
                        </w:rPr>
                        <m:t>2</m:t>
                      </m:r>
                    </m:sub>
                  </m:sSub>
                </m:e>
              </m:d>
            </m:sub>
          </m:sSub>
          <m:r>
            <w:rPr>
              <w:sz w:val="32"/>
            </w:rP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w:rPr>
                      <w:sz w:val="32"/>
                    </w:rPr>
                    <m:t>t</m:t>
                  </m:r>
                </m:e>
                <m:sub>
                  <m:r>
                    <w:rPr>
                      <w:sz w:val="32"/>
                    </w:rPr>
                    <m:t>1</m:t>
                  </m:r>
                </m:sub>
              </m:sSub>
            </m:sub>
            <m:sup>
              <m:sSub>
                <m:e>
                  <m:r>
                    <w:rPr>
                      <w:sz w:val="32"/>
                    </w:rPr>
                    <m:t>t</m:t>
                  </m:r>
                </m:e>
                <m:sub>
                  <m:r>
                    <w:rPr>
                      <w:sz w:val="32"/>
                    </w:rPr>
                    <m:t>2</m:t>
                  </m:r>
                </m:sub>
              </m:sSub>
            </m:sup>
            <m:e>
              <m:r>
                <w:rPr>
                  <w:sz w:val="32"/>
                </w:rPr>
                <m:t>G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32"/>
                </w:rPr>
                <m:t>t</m:t>
              </m:r>
            </m:e>
          </m:d>
          <m:r>
            <w:rPr>
              <w:sz w:val="32"/>
            </w:rPr>
            <m:t> </m:t>
          </m:r>
          <m:r>
            <w:rPr>
              <w:sz w:val="32"/>
            </w:rPr>
            <m:rPr>
              <m:sty m:val="p"/>
            </m:rPr>
            <m:t>d</m:t>
          </m:r>
          <m:r>
            <w:rPr>
              <w:sz w:val="32"/>
            </w:rPr>
            <m:t>t</m:t>
          </m:r>
          <m:r>
            <w:rPr>
              <w:sz w:val="32"/>
            </w:rPr>
            <m:rPr>
              <m:sty m:val="p"/>
            </m:rPr>
            <m:t>.</m:t>
          </m:r>
          <m:r>
            <w:rPr>
              <w:sz w:val="32"/>
            </w:rPr>
            <m:rPr>
              <m:sty m:val="p"/>
            </m:rPr>
            <m:t>   (E1.03)</m:t>
          </m:r>
        </m:oMath>
      </m:oMathPara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Com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t>G</m:t>
        </m:r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em W/m² e o tempo em segundos,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t>H</m:t>
        </m:r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é obtida em J/m². Quando o tempo é expresso em horas, a integração fornece Wh/m². A equivalência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t>1</m:t>
        </m:r>
        <m:r>
          <w:rPr>
            <w:sz w:val="28"/>
          </w:rPr>
          <m:t> </m:t>
        </m:r>
        <m:r>
          <w:rPr>
            <w:sz w:val="28"/>
          </w:rPr>
          <m:rPr>
            <m:sty m:val="p"/>
          </m:rPr>
          <m:t>W</m:t>
        </m:r>
        <m:r>
          <w:rPr>
            <w:sz w:val="28"/>
          </w:rPr>
          <m:rPr>
            <m:sty m:val="p"/>
          </m:rPr>
          <m:t>h</m:t>
        </m:r>
        <m:r>
          <w:rPr>
            <w:sz w:val="28"/>
          </w:rPr>
          <m:rPr>
            <m:sty m:val="p"/>
          </m:rPr>
          <m:t>/</m:t>
        </m:r>
        <m:sSup>
          <m:e>
            <m:r>
              <w:rPr>
                <w:sz w:val="28"/>
              </w:rPr>
              <m:rPr>
                <m:sty m:val="p"/>
              </m:rPr>
              <m:t>m</m:t>
            </m:r>
          </m:e>
          <m:sup>
            <m:r>
              <w:rPr>
                <w:sz w:val="28"/>
              </w:rPr>
              <m:rPr>
                <m:sty m:val="p"/>
              </m:rPr>
              <m:t>2</m:t>
            </m:r>
          </m:sup>
        </m:sSup>
        <m:r>
          <w:rPr>
            <w:sz w:val="28"/>
          </w:rPr>
          <m:rPr>
            <m:sty m:val="p"/>
          </m:rPr>
          <m:t>=</m:t>
        </m:r>
        <m:r>
          <w:rPr>
            <w:sz w:val="28"/>
          </w:rPr>
          <m:t>3600</m:t>
        </m:r>
        <m:r>
          <w:rPr>
            <w:sz w:val="28"/>
          </w:rPr>
          <m:t> </m:t>
        </m:r>
        <m:r>
          <w:rPr>
            <w:sz w:val="28"/>
          </w:rPr>
          <m:rPr>
            <m:sty m:val="p"/>
          </m:rPr>
          <m:t>J</m:t>
        </m:r>
        <m:r>
          <w:rPr>
            <w:sz w:val="28"/>
          </w:rPr>
          <m:rPr>
            <m:sty m:val="p"/>
          </m:rPr>
          <m:t>/</m:t>
        </m:r>
        <m:sSup>
          <m:e>
            <m:r>
              <w:rPr>
                <w:sz w:val="28"/>
              </w:rPr>
              <m:rPr>
                <m:sty m:val="p"/>
              </m:rPr>
              <m:t>m</m:t>
            </m:r>
          </m:e>
          <m:sup>
            <m:r>
              <w:rPr>
                <w:sz w:val="28"/>
              </w:rP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decorre da definição de watt e da conversão entre hora e segundo. Para registros que representam médias de intervalos, a forma discreta é</w:t>
      </w:r>
    </w:p>
    <w:p>
      <w:pPr>
        <w:pStyle w:val="BodyText"/>
        <w:widowControl/>
        <w:spacing w:before="120" w:after="140"/>
        <w:ind w:firstLine="0"/>
        <w:jc w:val="center"/>
      </w:pPr>
      <m:oMathPara>
        <m:oMathParaPr>
          <m:jc m:val="center"/>
        </m:oMathParaPr>
        <m:oMath>
          <m:r>
            <w:rPr>
              <w:sz w:val="32"/>
            </w:rPr>
            <m:t>H</m:t>
          </m:r>
          <m:r>
            <w:rPr>
              <w:sz w:val="32"/>
            </w:rP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sz w:val="32"/>
                </w:rPr>
                <m:t>i</m:t>
              </m:r>
              <m:r>
                <w:rPr>
                  <w:sz w:val="32"/>
                </w:rPr>
                <m:rPr>
                  <m:sty m:val="p"/>
                </m:rPr>
                <m:t>∈</m:t>
              </m:r>
              <m:r>
                <w:rPr>
                  <w:sz w:val="32"/>
                </w:rPr>
                <m:rPr>
                  <m:sty m:val="p"/>
                  <m:scr m:val="script"/>
                </m:rPr>
                <m:t>V</m:t>
              </m:r>
            </m:sub>
            <m:sup>
              <m:r>
                <w:rPr>
                  <w:sz w:val="32"/>
                </w:rPr>
                <m:t/>
              </m:r>
            </m:sup>
            <m:e>
              <m:sSub>
                <m:e>
                  <m:bar>
                    <m:barPr>
                      <m:pos m:val="top"/>
                    </m:barPr>
                    <m:e>
                      <m:r>
                        <w:rPr>
                          <w:sz w:val="32"/>
                        </w:rPr>
                        <m:t>G</m:t>
                      </m:r>
                    </m:e>
                  </m:bar>
                </m:e>
                <m:sub>
                  <m:r>
                    <w:rPr>
                      <w:sz w:val="32"/>
                    </w:rPr>
                    <m:t>i</m:t>
                  </m:r>
                </m:sub>
              </m:sSub>
            </m:e>
          </m:nary>
          <m:r>
            <w:rPr>
              <w:sz w:val="32"/>
            </w:rPr>
            <m:t> </m:t>
          </m:r>
          <m:r>
            <w:rPr>
              <w:sz w:val="32"/>
            </w:rPr>
            <m:t>Δ</m:t>
          </m:r>
          <m:sSub>
            <m:e>
              <m:r>
                <w:rPr>
                  <w:sz w:val="32"/>
                </w:rPr>
                <m:t>t</m:t>
              </m:r>
            </m:e>
            <m:sub>
              <m:r>
                <w:rPr>
                  <w:sz w:val="32"/>
                </w:rPr>
                <m:t>i</m:t>
              </m:r>
            </m:sub>
          </m:sSub>
          <m:r>
            <w:rPr>
              <w:sz w:val="32"/>
            </w:rPr>
            <m:rPr>
              <m:sty m:val="p"/>
            </m:rPr>
            <m:t>,</m:t>
          </m:r>
          <m:r>
            <w:rPr>
              <w:sz w:val="32"/>
            </w:rPr>
            <m:rPr>
              <m:sty m:val="p"/>
            </m:rPr>
            <m:t>   (E1.04)</m:t>
          </m:r>
        </m:oMath>
      </m:oMathPara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em que</w:t>
      </w:r>
      <w:r>
        <w:rPr>
          <w:rFonts w:ascii="Times New Roman" w:hAnsi="Times New Roman"/>
          <w:i w:val="0"/>
        </w:rPr>
        <w:t xml:space="preserve"> </w:t>
      </w:r>
      <m:oMath>
        <m:sSub>
          <m:e>
            <m:bar>
              <m:barPr>
                <m:pos m:val="top"/>
              </m:barPr>
              <m:e>
                <m:r>
                  <w:rPr>
                    <w:sz w:val="28"/>
                  </w:rPr>
                  <m:t>G</m:t>
                </m:r>
              </m:e>
            </m:bar>
          </m:e>
          <m:sub>
            <m:r>
              <w:rPr>
                <w:sz w:val="28"/>
              </w:rPr>
              <m:t>i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é a irradiância média do intervalo,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t>Δ</m:t>
        </m:r>
        <m:sSub>
          <m:e>
            <m:r>
              <w:rPr>
                <w:sz w:val="28"/>
              </w:rPr>
              <m:t>t</m:t>
            </m:r>
          </m:e>
          <m:sub>
            <m:r>
              <w:rPr>
                <w:sz w:val="28"/>
              </w:rPr>
              <m:t>i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é sua duração e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rPr>
            <m:sty m:val="p"/>
            <m:scr m:val="script"/>
          </m:rPr>
          <m:t>V</m:t>
        </m:r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é o conjunto de intervalos válidos. A forma discreta é aqui derivada da definição integral sob a hipótese de médias de intervalo. Essa soma representa a energia dos intervalos efetivamente incluídos; não reconstitui a energia dos intervalos ausentes. Se o registro for uma amostra instantânea, a integração por soma ou por outra quadratura constitui uma aproximação adicional. Portanto, a resolução nominal de um arquivo não informa, por si só, se seus valores são instantâneos, médios ou acumulados. A interpretação deve ser obtida nos metadados de aquisição e processamento (DUFFIE; BECKMAN; BLAIR, 2020, p. 10; SENGUPTA et al., 2024, cap. 6, p. 24–25).</w:t>
      </w:r>
    </w:p>
    <w:bookmarkEnd w:id="20"/>
    <w:bookmarkStart w:id="21" w:name="X3c2eacbc98ad1a80d4f07ee11382bfb7f38555b"/>
    <w:p>
      <w:pPr>
        <w:pStyle w:val="Heading2"/>
        <w:widowControl/>
      </w:pPr>
      <w:r>
        <w:rPr>
          <w:b/>
        </w:rPr>
        <w:t>1.2.2 COMPONENTES DIRETA, DIFUSA E GLOBAL HORIZONTAL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A interação da radiação solar com a atmosfera produz um campo radiativo com contribuições direcionais distintas. A irradiância direta normal, DNI, é referida a uma superfície perpendicular à direção solar e à radiação proveniente de uma pequena região angular centrada no Sol. A irradiância difusa horizontal, DHI, é a contribuição do céu recebida por uma superfície horizontal, excluída a região angular atribuída à componente direta. A irradiância global horizontal, GHI, representa a irradiância solar descendente total de ondas curtas recebida no plano horizontal. As três grandezas são expressas em W/m²; suas diferenças decorrem da direção de recepção e do campo angular integrado, e não da unidade (SENGUPTA et al., 2024, cap. 2, p. 9–10).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Para o Sol acima do horizonte e para definições radiométricas compatíveis, o balanço geométrico ideal é</w:t>
      </w:r>
    </w:p>
    <w:p>
      <w:pPr>
        <w:pStyle w:val="BodyText"/>
        <w:widowControl/>
        <w:spacing w:before="120" w:after="140"/>
        <w:ind w:firstLine="0"/>
        <w:jc w:val="center"/>
      </w:pPr>
      <m:oMathPara>
        <m:oMathParaPr>
          <m:jc m:val="center"/>
        </m:oMathParaPr>
        <m:oMath>
          <m:r>
            <w:rPr>
              <w:sz w:val="32"/>
            </w:rPr>
            <m:rPr>
              <m:sty m:val="p"/>
            </m:rPr>
            <m:t>G</m:t>
          </m:r>
          <m:r>
            <w:rPr>
              <w:sz w:val="32"/>
            </w:rPr>
            <m:rPr>
              <m:sty m:val="p"/>
            </m:rPr>
            <m:t>H</m:t>
          </m:r>
          <m:r>
            <w:rPr>
              <w:sz w:val="32"/>
            </w:rPr>
            <m:rPr>
              <m:sty m:val="p"/>
            </m:rPr>
            <m:t>I</m:t>
          </m:r>
          <m:r>
            <w:rPr>
              <w:sz w:val="32"/>
            </w:rPr>
            <m:rPr>
              <m:sty m:val="p"/>
            </m:rPr>
            <m:t>=</m:t>
          </m:r>
          <m:r>
            <w:rPr>
              <w:sz w:val="32"/>
            </w:rPr>
            <m:rPr>
              <m:sty m:val="p"/>
            </m:rPr>
            <m:t>D</m:t>
          </m:r>
          <m:r>
            <w:rPr>
              <w:sz w:val="32"/>
            </w:rPr>
            <m:rPr>
              <m:sty m:val="p"/>
            </m:rPr>
            <m:t>N</m:t>
          </m:r>
          <m:r>
            <w:rPr>
              <w:sz w:val="32"/>
            </w:rPr>
            <m:rPr>
              <m:sty m:val="p"/>
            </m:rPr>
            <m:t>I</m:t>
          </m:r>
          <m:r>
            <w:rPr>
              <w:sz w:val="32"/>
            </w:rPr>
            <m:rPr>
              <m:sty m:val="p"/>
            </m:rPr>
            <m:t>cos</m:t>
          </m:r>
          <m:sSub>
            <m:e>
              <m:r>
                <w:rPr>
                  <w:sz w:val="32"/>
                </w:rPr>
                <m:t>θ</m:t>
              </m:r>
            </m:e>
            <m:sub>
              <m:r>
                <w:rPr>
                  <w:sz w:val="32"/>
                </w:rPr>
                <m:t>z</m:t>
              </m:r>
            </m:sub>
          </m:sSub>
          <m:r>
            <w:rPr>
              <w:sz w:val="32"/>
            </w:rPr>
            <m:rPr>
              <m:sty m:val="p"/>
            </m:rPr>
            <m:t>+</m:t>
          </m:r>
          <m:r>
            <w:rPr>
              <w:sz w:val="32"/>
            </w:rPr>
            <m:rPr>
              <m:sty m:val="p"/>
            </m:rPr>
            <m:t>D</m:t>
          </m:r>
          <m:r>
            <w:rPr>
              <w:sz w:val="32"/>
            </w:rPr>
            <m:rPr>
              <m:sty m:val="p"/>
            </m:rPr>
            <m:t>H</m:t>
          </m:r>
          <m:r>
            <w:rPr>
              <w:sz w:val="32"/>
            </w:rPr>
            <m:rPr>
              <m:sty m:val="p"/>
            </m:rPr>
            <m:t>I</m:t>
          </m:r>
          <m:r>
            <w:rPr>
              <w:sz w:val="32"/>
            </w:rPr>
            <m:rPr>
              <m:sty m:val="p"/>
            </m:rPr>
            <m:t>.</m:t>
          </m:r>
          <m:r>
            <w:rPr>
              <w:sz w:val="32"/>
            </w:rPr>
            <m:rPr>
              <m:sty m:val="p"/>
            </m:rPr>
            <m:t>   (E1.05)</m:t>
          </m:r>
        </m:oMath>
      </m:oMathPara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O produto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rPr>
            <m:sty m:val="p"/>
          </m:rPr>
          <m:t>D</m:t>
        </m:r>
        <m:r>
          <w:rPr>
            <w:sz w:val="28"/>
          </w:rPr>
          <m:rPr>
            <m:sty m:val="p"/>
          </m:rPr>
          <m:t>N</m:t>
        </m:r>
        <m:r>
          <w:rPr>
            <w:sz w:val="28"/>
          </w:rPr>
          <m:rPr>
            <m:sty m:val="p"/>
          </m:rPr>
          <m:t>I</m:t>
        </m:r>
        <m:r>
          <w:rPr>
            <w:sz w:val="28"/>
          </w:rPr>
          <m:rPr>
            <m:sty m:val="p"/>
          </m:rPr>
          <m:t>cos</m:t>
        </m:r>
        <m:sSub>
          <m:e>
            <m:r>
              <w:rPr>
                <w:sz w:val="28"/>
              </w:rPr>
              <m:t>θ</m:t>
            </m:r>
          </m:e>
          <m:sub>
            <m:r>
              <w:rPr>
                <w:sz w:val="28"/>
              </w:rPr>
              <m:t>z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é a componente direta projetada na horizontal. A equação deve utilizar um ângulo solar coerente com a aplicação, distinguindo a geometria da refração quando necessário. No fechamento de medidas reais, também importam o campo de visão do pireliômetro, o sombreamento aplicado ao sensor de DHI, a resposta angular dos sensores e sua sincronização. Por isso, um resíduo entre os termos medidos não pode ser atribuído automaticamente a uma falha atmosférica ou a um único instrumento (SENGUPTA et al., 2024, cap. 2, p. 10; cap. 3, p. 5–7).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A equação de fechamento é uma restrição física útil, mas não transforma uma medição isolada de GHI em três observações independentes. A estimação de DNI e DHI a partir de GHI requer modelos de decomposição, cuja validade depende de condições e escalas temporais. Próximo ao horizonte, estimar DNI pela divisão da componente direta horizontal por</w:t>
      </w:r>
      <w:r>
        <w:rPr>
          <w:rFonts w:ascii="Times New Roman" w:hAnsi="Times New Roman"/>
          <w:i w:val="0"/>
        </w:rPr>
        <w:t xml:space="preserve"> </w:t>
      </w:r>
      <m:oMath>
        <m:r>
          <w:rPr>
            <w:sz w:val="28"/>
          </w:rPr>
          <m:rPr>
            <m:sty m:val="p"/>
          </m:rPr>
          <m:t>cos</m:t>
        </m:r>
        <m:sSub>
          <m:e>
            <m:r>
              <w:rPr>
                <w:sz w:val="28"/>
              </w:rPr>
              <m:t>θ</m:t>
            </m:r>
          </m:e>
          <m:sub>
            <m:r>
              <w:rPr>
                <w:sz w:val="28"/>
              </w:rPr>
              <m:t>z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amplifica a sensibilidade a pequenos erros, pois o denominador tende a zero. A caracterização das componentes deve, portanto, manter explícita a distinção entre valores medidos e estimados (SENGUPTA et al., 2024, cap. 2, p. 10–11).</w:t>
      </w:r>
    </w:p>
    <w:bookmarkEnd w:id="21"/>
    <w:bookmarkStart w:id="22" w:name="X4a72c6609e458fccae0c45f82fe0ee175885281"/>
    <w:p>
      <w:pPr>
        <w:pStyle w:val="Heading2"/>
        <w:widowControl/>
      </w:pPr>
      <w:r>
        <w:rPr>
          <w:b/>
        </w:rPr>
        <w:t>1.2.3 REFERÊNCIA EXTRATERRESTRE E IRRADIÂNCIA NO PLANO DO ARRANJO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A irradiância extraterrestre normal</w:t>
      </w:r>
      <w:r>
        <w:rPr>
          <w:rFonts w:ascii="Times New Roman" w:hAnsi="Times New Roman"/>
          <w:i w:val="0"/>
        </w:rPr>
        <w:t xml:space="preserve"> </w:t>
      </w:r>
      <m:oMath>
        <m:sSub>
          <m:e>
            <m:r>
              <w:rPr>
                <w:sz w:val="28"/>
              </w:rPr>
              <m:t>G</m:t>
            </m:r>
          </m:e>
          <m:sub>
            <m:r>
              <w:rPr>
                <w:sz w:val="28"/>
              </w:rPr>
              <m:t>0</m:t>
            </m:r>
            <m:r>
              <w:rPr>
                <w:sz w:val="28"/>
              </w:rPr>
              <m:t>n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e sua projeção horizontal</w:t>
      </w:r>
      <w:r>
        <w:rPr>
          <w:rFonts w:ascii="Times New Roman" w:hAnsi="Times New Roman"/>
          <w:i w:val="0"/>
        </w:rPr>
        <w:t xml:space="preserve"> </w:t>
      </w:r>
      <m:oMath>
        <m:sSub>
          <m:e>
            <m:r>
              <w:rPr>
                <w:sz w:val="28"/>
              </w:rPr>
              <m:t>G</m:t>
            </m:r>
          </m:e>
          <m:sub>
            <m:r>
              <w:rPr>
                <w:sz w:val="28"/>
              </w:rPr>
              <m:t>0</m:t>
            </m:r>
            <m:r>
              <w:rPr>
                <w:sz w:val="28"/>
              </w:rPr>
              <m:t>h</m:t>
            </m:r>
          </m:sub>
        </m:sSub>
      </m:oMath>
      <w:r>
        <w:rPr>
          <w:rFonts w:ascii="Times New Roman" w:hAnsi="Times New Roman"/>
          <w:i w:val="0"/>
        </w:rPr>
        <w:t xml:space="preserve">, definidas em 1.1, constituem referências anteriores à interação com a atmosfera. A presença do mesmo plano horizontal em</w:t>
      </w:r>
      <w:r>
        <w:rPr>
          <w:rFonts w:ascii="Times New Roman" w:hAnsi="Times New Roman"/>
          <w:i w:val="0"/>
        </w:rPr>
        <w:t xml:space="preserve"> </w:t>
      </w:r>
      <m:oMath>
        <m:sSub>
          <m:e>
            <m:r>
              <w:rPr>
                <w:sz w:val="28"/>
              </w:rPr>
              <m:t>G</m:t>
            </m:r>
          </m:e>
          <m:sub>
            <m:r>
              <w:rPr>
                <w:sz w:val="28"/>
              </w:rPr>
              <m:t>0</m:t>
            </m:r>
            <m:r>
              <w:rPr>
                <w:sz w:val="28"/>
              </w:rPr>
              <m:t>h</m:t>
            </m:r>
          </m:sub>
        </m:sSub>
      </m:oMath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e GHI não as torna equivalentes: a primeira representa a projeção extraterrestre, enquanto a segunda descreve o campo radiativo disponível na superfície. Também não se deve impor que toda observação de curta duração seja necessariamente inferior a essa projeção, pois a redistribuição por nuvens pode produzir episódios de intensificação local da irradiância global (DUFFIE; BECKMAN; BLAIR, 2020, p. 9–10; SENGUPTA et al., 2024, cap. 6, p. 2).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A irradiância no plano do arranjo, POA, é referida à superfície dos módulos, que pode ser inclinada ou rastreada. Sua descrição separa a contribuição direta projetada nesse plano, a difusa proveniente do céu e a refletida pelo entorno. Essa separação conceitual identifica a natureza das parcelas sem impor um modelo de distribuição angular da radiação difusa. O cálculo de transposição e suas hipóteses pertencem à subseção 3.1; o albedo e a instalação são desenvolvidos nas subseções 2.2 e 2.4. A Seção 1 estabelece as grandezas necessárias a essas etapas, sem antecipar seus resultados (SENGUPTA et al., 2024, cap. 2, p. 1 e 9–11).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fill="F0F0F0"/>
          </w:tcPr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Grandeza</w:t>
            </w:r>
          </w:p>
        </w:tc>
        <w:tc>
          <w:tcPr>
            <w:shd w:fill="F0F0F0"/>
          </w:tcPr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Definição e plano</w:t>
            </w:r>
          </w:p>
        </w:tc>
        <w:tc>
          <w:tcPr>
            <w:shd w:fill="F0F0F0"/>
          </w:tcPr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Unidade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Irradiância extraterrestre normal ao feixe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W/m²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Projeção extraterrestre na horizontal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W/m²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DNI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Componente direta referida à normal solar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W/m²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DHI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Componente difusa recebida na horizontal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W/m²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GHI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Irradiância global recebida na horizontal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W/m²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POA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Irradiância recebida no plano do arranjo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W/m²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Irradiação no plano e intervalo declarados</w:t>
            </w:r>
          </w:p>
        </w:tc>
        <w:tc>
          <w:tcPr/>
          <w:p>
            <w:pPr>
              <w:pStyle w:val="Compact"/>
              <w:spacing w:line="264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J/m², Wh/m² ou kWh/m²</w:t>
            </w:r>
          </w:p>
        </w:tc>
      </w:tr>
    </w:tbl>
    <w:p>
      <w:pPr>
        <w:pStyle w:val="BodyText"/>
        <w:widowControl/>
        <w:spacing w:line="264" w:lineRule="auto"/>
        <w:ind w:firstLine="0"/>
        <w:jc w:val="left"/>
      </w:pPr>
      <w:r>
        <w:rPr>
          <w:rFonts w:ascii="Times New Roman" w:hAnsi="Times New Roman"/>
          <w:i w:val="0"/>
          <w:sz w:val="22"/>
        </w:rPr>
        <w:t xml:space="preserve">Fonte: elaboração de Samuel Constantino Teixeira a partir de Duffie, Beckman e Blair (2020, p. 9–15) e Sengupta et al. (2024, cap. 2, p. 9–11).</w:t>
      </w:r>
    </w:p>
    <w:bookmarkEnd w:id="22"/>
    <w:bookmarkStart w:id="23" w:name="aplicação-ao-pvdaq-2107-e-continuidade"/>
    <w:p>
      <w:pPr>
        <w:pStyle w:val="Heading2"/>
        <w:widowControl/>
      </w:pPr>
      <w:r>
        <w:rPr>
          <w:b/>
        </w:rPr>
        <w:t>1.2.4 APLICAÇÃO AO PVDAQ 2107 E CONTINUIDADE</w:t>
      </w:r>
    </w:p>
    <w:p>
      <w:pPr>
        <w:pStyle w:val="FirstParagraph"/>
        <w:widowControl/>
      </w:pPr>
      <w:r>
        <w:rPr>
          <w:rFonts w:ascii="Times New Roman" w:hAnsi="Times New Roman"/>
          <w:i w:val="0"/>
        </w:rPr>
        <w:t xml:space="preserve">No conjunto utilizado pelo capítulo, a POA observada constitui a entrada radiométrica local da cadeia principal. O arquivo preparado preserva o início de cada intervalo em UTC e um indicador da presença das três amostras previstas na agregação de 15 minutos. A posição solar é calculada no ponto médio, enquanto a POA conserva a natureza de média do intervalo. A Figura G01, discutida em 1.1, apresenta essas informações com suas diferentes origens explicitadas. Esse procedimento permite relacionar geometria e observação sem transformar o sensor POA em um sensor horizontal.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As componentes GHI, DNI e DHI eventualmente reconstruídas a partir da POA permanecem estimativas dependentes de modelos e hipóteses. A reprodução da POA de entrada por uma transposição inversa seguida da transposição direta não constitui validação independente dessas componentes. Essa conclusão resulta da dependência entre entradas e saídas do procedimento, e não de uma comparação realizada com sensores locais adicionais. Driesse, Jensen e Perez (2024, p. 9–11) distinguem a avaliação do algoritmo inverso com alvos de irradiância inclinada modelados da avaliação com medições reais; também discutem soluções matemáticas múltiplas. A verificação das componentes do PVDAQ exigiria referências observacionais ou estimativas externas com incerteza e independência documentadas.</w:t>
      </w:r>
    </w:p>
    <w:p>
      <w:pPr>
        <w:pStyle w:val="BodyText"/>
        <w:widowControl/>
      </w:pPr>
      <w:r>
        <w:rPr>
          <w:rFonts w:ascii="Times New Roman" w:hAnsi="Times New Roman"/>
          <w:i w:val="0"/>
        </w:rPr>
        <w:t xml:space="preserve">A distinção entre potência radiativa, energia integrada e planos de recepção prepara a análise da modulação atmosférica em 1.3. Ela também define o requisito de comparabilidade para 1.4: duas séries somente podem ser confrontadas após compatibilizar a grandeza, o plano, o tempo de integração e o domínio de observação.</w:t>
      </w:r>
    </w:p>
    <w:bookmarkEnd w:id="23"/>
    <w:bookmarkEnd w:id="24"/>
    <w:bookmarkStart w:id="25" w:name="referências"/>
    <w:p>
      <w:pPr>
        <w:pStyle w:val="Heading1"/>
        <w:widowControl/>
      </w:pPr>
      <w:r>
        <w:rPr>
          <w:b/>
        </w:rPr>
        <w:t>REFERÊNCIAS</w:t>
      </w:r>
    </w:p>
    <w:p>
      <w:pPr>
        <w:pStyle w:val="FirstParagraph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DRIESSE, Anton; JENSEN, Adam R.; PEREZ, Richard. A continuous form of the Perez diffuse sky model for forward and reverse transposition.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Solar Energy</w:t>
      </w:r>
      <w:r>
        <w:rPr>
          <w:rFonts w:ascii="Times New Roman" w:hAnsi="Times New Roman"/>
          <w:i w:val="0"/>
        </w:rPr>
        <w:t xml:space="preserve">, v. 267, art. 112093, 2024. DOI: https://doi.org/10.1016/j.solener.2023.112093.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DUFFIE, John A.; BECKMAN, William A.; BLAIR, Nathan.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Solar engineering of thermal processes, photovoltaics and wind</w:t>
      </w:r>
      <w:r>
        <w:rPr>
          <w:rFonts w:ascii="Times New Roman" w:hAnsi="Times New Roman"/>
          <w:i w:val="0"/>
        </w:rPr>
        <w:t xml:space="preserve">. 5. ed. Hoboken: Wiley, 2020. ISBN 9781119540311. DOI: https://doi.org/10.1002/9781119540328.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SENGUPTA, Manajit et al. (ed.).</w:t>
      </w:r>
      <w:r>
        <w:rPr>
          <w:rFonts w:ascii="Times New Roman" w:hAnsi="Times New Roman"/>
          <w:i w:val="0"/>
        </w:rPr>
        <w:t xml:space="preserve"> </w:t>
      </w:r>
      <w:r>
        <w:rPr>
          <w:bCs/>
          <w:rFonts w:ascii="Times New Roman" w:hAnsi="Times New Roman"/>
          <w:b/>
          <w:i w:val="0"/>
        </w:rPr>
        <w:t xml:space="preserve">Best practices handbook for the collection and use of solar resource data for solar energy applications</w:t>
      </w:r>
      <w:r>
        <w:rPr>
          <w:rFonts w:ascii="Times New Roman" w:hAnsi="Times New Roman"/>
          <w:i w:val="0"/>
        </w:rPr>
        <w:t xml:space="preserve">. 4. ed. Golden: National Renewable Energy Laboratory, 2024. Relatório NREL/TP-5D00-88300. DOI: https://doi.org/10.2172/2448063. Disponível em: https://docs.nrel.gov/docs/fy24osti/88300.pdf. Acesso em: 27 out. 2026.</w:t>
      </w:r>
    </w:p>
    <w:p>
      <w:pPr>
        <w:pStyle w:val="BodyText"/>
        <w:widowControl/>
        <w:spacing w:line="264" w:lineRule="auto"/>
        <w:ind w:hanging="340" w:left="340"/>
        <w:jc w:val="left"/>
      </w:pPr>
      <w:r>
        <w:rPr>
          <w:rFonts w:ascii="Times New Roman" w:hAnsi="Times New Roman"/>
          <w:i w:val="0"/>
        </w:rPr>
        <w:t xml:space="preserve">TEIXEIRA, Samuel Constantino et al. </w:t>
      </w:r>
      <w:r>
        <w:rPr>
          <w:bCs/>
          <w:rFonts w:ascii="Times New Roman" w:hAnsi="Times New Roman"/>
          <w:b/>
          <w:i w:val="0"/>
        </w:rPr>
        <w:t xml:space="preserve">SPGER0046 Energias Renováveis: configuração e dados preparados do estudo PVDAQ 2107</w:t>
      </w:r>
      <w:r>
        <w:rPr>
          <w:rFonts w:ascii="Times New Roman" w:hAnsi="Times New Roman"/>
          <w:i w:val="0"/>
        </w:rPr>
        <w:t xml:space="preserve">. 2026. Repositório de trabalho. Dados utilizados: abril a junho de 2024. Disponível em: https://github.com/samuelasroma-byte/SPGER0046_Energias_Renovaveis. Acesso em: 27 out. 2026.</w:t>
      </w:r>
    </w:p>
    <w:bookmarkEnd w:id="25"/>
    <w:sectPr>
      <w:headerReference r:id="rId9" w:type="default"/>
      <w:pgSz w:h="16838" w:w="11906"/>
      <w:pgMar w:bottom="1134" w:header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2"/>
      </w:rPr>
    </w:r>
    <w:fldSimple w:instr="PAGE"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140" w:before="18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40" w:line="324" w:lineRule="auto"/>
      <w:ind w:firstLine="709"/>
      <w:jc w:val="both"/>
    </w:pPr>
    <w:rPr>
      <w:rFonts w:ascii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240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32"/>
    </w:rPr>
  </w:style>
  <w:style w:customStyle="1" w:styleId="Heading2" w:type="paragraph">
    <w:name w:val="heading 2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8"/>
    </w:rPr>
  </w:style>
  <w:style w:customStyle="1" w:styleId="Heading3" w:type="paragraph">
    <w:name w:val="heading 3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2026-10-27T18:06:15Z</dcterms:created>
  <dcterms:modified xsi:type="dcterms:W3CDTF">2026-10-27T18:06:15Z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