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b/>
          <w:color w:val="000000"/>
          <w:sz w:val="28"/>
        </w:rPr>
        <w:t>Tabelas e quadros da seção 1</w:t>
      </w:r>
    </w:p>
    <w:p>
      <w:r>
        <w:t>Fundamentos e caracterização do recurso solar</w:t>
      </w:r>
    </w:p>
    <w:p>
      <w:r>
        <w:t>Responsáveis pela seção: Samuel.</w:t>
      </w:r>
    </w:p>
    <w:p>
      <w:r>
        <w:t>Inserir cada ID somente na subseção indicada; em outras partes, citar sem reproduzir. Numeração original preservada.</w:t>
      </w:r>
    </w:p>
    <w:p>
      <w:pPr>
        <w:pStyle w:val="Heading1"/>
      </w:pPr>
      <w:r>
        <w:t>Subseção 1.4</w:t>
      </w:r>
    </w:p>
    <w:p>
      <w:pPr>
        <w:keepNext/>
      </w:pPr>
      <w:r>
        <w:rPr>
          <w:b/>
          <w:color w:val="000000"/>
          <w:sz w:val="24"/>
        </w:rPr>
        <w:t>Q01  Inserção exclusiva na subseção 1.4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Quadro 1 — Dados disponíveis e limites do estudo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970"/>
        <w:gridCol w:w="2322"/>
        <w:gridCol w:w="3780"/>
      </w:tblGrid>
      <w:tr>
        <w:trPr>
          <w:tblHeader/>
          <w:cantSplit/>
        </w:trPr>
        <w:tc>
          <w:tcPr>
            <w:tcW w:type="dxa" w:w="297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Item</w:t>
            </w:r>
          </w:p>
        </w:tc>
        <w:tc>
          <w:tcPr>
            <w:tcW w:type="dxa" w:w="23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Situação</w:t>
            </w:r>
          </w:p>
        </w:tc>
        <w:tc>
          <w:tcPr>
            <w:tcW w:type="dxa" w:w="378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Consequência para o estudo</w:t>
            </w:r>
          </w:p>
        </w:tc>
      </w:tr>
      <w:tr>
        <w:trPr>
          <w:cantSplit/>
        </w:trPr>
        <w:tc>
          <w:tcPr>
            <w:tcW w:type="dxa" w:w="297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Latitude, longitude, altitude, inclinação e azimute</w:t>
            </w:r>
          </w:p>
        </w:tc>
        <w:tc>
          <w:tcPr>
            <w:tcW w:type="dxa" w:w="23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Disponíveis nos metadados</w:t>
            </w:r>
          </w:p>
        </w:tc>
        <w:tc>
          <w:tcPr>
            <w:tcW w:type="dxa" w:w="378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Permitem calcular a geometria solar; não é preciso medir o zenital</w:t>
            </w:r>
          </w:p>
        </w:tc>
      </w:tr>
      <w:tr>
        <w:trPr>
          <w:cantSplit/>
        </w:trPr>
        <w:tc>
          <w:tcPr>
            <w:tcW w:type="dxa" w:w="297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POA, temperatura do ar, vento e potência AC</w:t>
            </w:r>
          </w:p>
        </w:tc>
        <w:tc>
          <w:tcPr>
            <w:tcW w:type="dxa" w:w="23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Medições locais disponíveis</w:t>
            </w:r>
          </w:p>
        </w:tc>
        <w:tc>
          <w:tcPr>
            <w:tcW w:type="dxa" w:w="378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Permitem comparação elétrica agregada modelo–medidor</w:t>
            </w:r>
          </w:p>
        </w:tc>
      </w:tr>
      <w:tr>
        <w:trPr>
          <w:cantSplit/>
        </w:trPr>
        <w:tc>
          <w:tcPr>
            <w:tcW w:type="dxa" w:w="297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GHI, DNI e DHI locais</w:t>
            </w:r>
          </w:p>
        </w:tc>
        <w:tc>
          <w:tcPr>
            <w:tcW w:type="dxa" w:w="23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Sem séries medidas nos arquivos obtidos</w:t>
            </w:r>
          </w:p>
        </w:tc>
        <w:tc>
          <w:tcPr>
            <w:tcW w:type="dxa" w:w="378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Não impedem o modelo direto com POA; impedem validação independente das componentes</w:t>
            </w:r>
          </w:p>
        </w:tc>
      </w:tr>
      <w:tr>
        <w:trPr>
          <w:cantSplit/>
        </w:trPr>
        <w:tc>
          <w:tcPr>
            <w:tcW w:type="dxa" w:w="297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Temperatura medida de módulo/célula</w:t>
            </w:r>
          </w:p>
        </w:tc>
        <w:tc>
          <w:tcPr>
            <w:tcW w:type="dxa" w:w="23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Ausente</w:t>
            </w:r>
          </w:p>
        </w:tc>
        <w:tc>
          <w:tcPr>
            <w:tcW w:type="dxa" w:w="378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Temperatura operacional estimada; etapa térmica sem validação própria</w:t>
            </w:r>
          </w:p>
        </w:tc>
      </w:tr>
      <w:tr>
        <w:trPr>
          <w:cantSplit/>
        </w:trPr>
        <w:tc>
          <w:tcPr>
            <w:tcW w:type="dxa" w:w="297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Strings, associação aos MPPTs e limite AC efetivo</w:t>
            </w:r>
          </w:p>
        </w:tc>
        <w:tc>
          <w:tcPr>
            <w:tcW w:type="dxa" w:w="23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Documentação incompleta</w:t>
            </w:r>
          </w:p>
        </w:tc>
        <w:tc>
          <w:tcPr>
            <w:tcW w:type="dxa" w:w="378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Modelo agregado possível; reconstrução detalhada não comprovada</w:t>
            </w:r>
          </w:p>
        </w:tc>
      </w:tr>
      <w:tr>
        <w:trPr>
          <w:cantSplit/>
        </w:trPr>
        <w:tc>
          <w:tcPr>
            <w:tcW w:type="dxa" w:w="297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Albedo, limpeza, sombras e altura do anemômetro</w:t>
            </w:r>
          </w:p>
        </w:tc>
        <w:tc>
          <w:tcPr>
            <w:tcW w:type="dxa" w:w="23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Não documentados suficientemente</w:t>
            </w:r>
          </w:p>
        </w:tc>
        <w:tc>
          <w:tcPr>
            <w:tcW w:type="dxa" w:w="378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Hipóteses e sensibilidades; causas de perdas não identificadas só pelo resíduo</w:t>
            </w:r>
          </w:p>
        </w:tc>
      </w:tr>
      <w:tr>
        <w:trPr>
          <w:cantSplit/>
        </w:trPr>
        <w:tc>
          <w:tcPr>
            <w:tcW w:type="dxa" w:w="297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Fachada e propriedades de produto BIPV</w:t>
            </w:r>
          </w:p>
        </w:tc>
        <w:tc>
          <w:tcPr>
            <w:tcW w:type="dxa" w:w="23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Sem medições</w:t>
            </w:r>
          </w:p>
        </w:tc>
        <w:tc>
          <w:tcPr>
            <w:tcW w:type="dxa" w:w="378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Extensão simulada; sem validação de fachada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Dados PVDAQ 2107. Metadados incompletos não foram preenchidos como se fossem medições.</w:t>
      </w:r>
    </w:p>
    <w:p>
      <w:pPr>
        <w:keepNext/>
      </w:pPr>
      <w:r>
        <w:rPr>
          <w:b/>
          <w:color w:val="000000"/>
          <w:sz w:val="24"/>
        </w:rPr>
        <w:t>Q03  Inserção exclusiva na subseção 1.4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Quadro 3 — Fundamentos e recurso solar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007"/>
        <w:gridCol w:w="3007"/>
        <w:gridCol w:w="3058"/>
      </w:tblGrid>
      <w:tr>
        <w:trPr>
          <w:tblHeader/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Subseção e responsável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Entregas e evidência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Limite e referências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1.1 Geometria solar e irradiância extraterrestre</w:t>
              <w:br/>
              <w:t>Samuel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Geometria solar e quadro de convenções.</w:t>
              <w:br/>
              <w:t>Evidência: Cálculo físico com coordenadas documentadas.</w:t>
              <w:br/>
              <w:t>Figuras: G01.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Não há observação independente de ângulo solar; a geometria pode ser calculada.</w:t>
              <w:br/>
              <w:t>Fontes: R03, R04, R05.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1.2 Grandezas radiométricas e componentes da radiação</w:t>
              <w:br/>
              <w:t>Samuel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Quadro das grandezas e componentes estimadas.</w:t>
              <w:br/>
              <w:t>Evidência: Medição POA e estimativa exploratória das componentes.</w:t>
              <w:br/>
              <w:t>Figuras: F02.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Sem GHI/DNI/DHI locais medidos; reconstrução não equivale a observação.</w:t>
              <w:br/>
              <w:t>Fontes: R01, R14, R18, R29.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1.3 Modulação atmosférica e variabilidade espaço temporal</w:t>
              <w:br/>
              <w:t>Samuel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Critério dos dias ilustrativos e irradiação pareada.</w:t>
              <w:br/>
              <w:t>Evidência: Descrição observacional de variabilidade.</w:t>
              <w:br/>
              <w:t>Figuras: G02.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Não se atribuem causas atmosféricas isoladas nem climatologia anual a um trimestre.</w:t>
              <w:br/>
              <w:t>Fontes: R01, R25.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1.4 Medição e estimativa do recurso solar</w:t>
              <w:br/>
              <w:t>Samuel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Situação dos dados, proveniência e cobertura.</w:t>
              <w:br/>
              <w:t>Evidência: Auditoria de disponibilidade e documentação.</w:t>
              <w:br/>
              <w:t>Figuras: FL01.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Disponibilidade elevada não certifica sensores. Altura do anemômetro e alguns metadados permanecem incompletos.</w:t>
              <w:br/>
              <w:t>Fontes: R01, R02, R21, R22, R23, R25, R26.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A matriz CSV e Markdown contém também objetivos, entradas e métodos. Cobertura didática não significa validação independente de cada etapa.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701" w:right="1134" w:bottom="1134" w:left="1701" w:header="113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right"/>
    </w:pPr>
    <w:fldSimple w:instr="PAGE">
      <w:r>
        <w:rPr>
          <w:rFonts w:ascii="Times New Roman" w:hAnsi="Times New Roman" w:eastAsia="Times New Roman" w:cs="Times New Roman"/>
          <w:sz w:val="24"/>
          <w:szCs w:val="24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40" w:lineRule="auto" w:before="240"/>
      <w:ind w:firstLine="0" w:left="0" w:right="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widowControl/>
      <w:spacing w:after="0" w:line="360" w:lineRule="auto" w:before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widowControl/>
      <w:spacing w:line="240" w:lineRule="auto" w:before="240" w:after="240"/>
      <w:ind w:firstLine="0" w:left="0" w:right="0"/>
      <w:jc w:val="left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ênciaABNT">
    <w:name w:val="Referência ABNT"/>
    <w:basedOn w:val="Normal"/>
    <w:pPr>
      <w:keepLines/>
      <w:widowControl/>
      <w:spacing w:line="240" w:lineRule="auto" w:before="0" w:after="240"/>
      <w:ind w:left="709" w:hanging="709"/>
      <w:jc w:val="left"/>
    </w:pPr>
    <w:rPr>
      <w:rFonts w:ascii="Times New Roman" w:hAnsi="Times New Roman" w:eastAsia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Tabelas e quadros da seção 1</dc:title>
  <dc:subject>Farm Solar Array PVDAQ 2107 abril a junho de 2024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