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/>
          <w:b/>
          <w:color w:val="000000"/>
          <w:sz w:val="28"/>
        </w:rPr>
        <w:t>Tabelas e quadros da seção 2</w:t>
      </w:r>
    </w:p>
    <w:p>
      <w:r>
        <w:t>Condições ambientais e de entorno da conversão fotovoltaica</w:t>
      </w:r>
    </w:p>
    <w:p>
      <w:r>
        <w:t>Responsáveis pela seção: Vannessa e Thais.</w:t>
      </w:r>
    </w:p>
    <w:p>
      <w:r>
        <w:t>Inserir cada ID somente na subseção indicada; em outras partes, citar sem reproduzir. Numeração original preservada.</w:t>
      </w:r>
    </w:p>
    <w:p>
      <w:pPr>
        <w:pStyle w:val="Heading1"/>
      </w:pPr>
      <w:r>
        <w:t>Subseção 2.1</w:t>
      </w:r>
    </w:p>
    <w:p>
      <w:pPr>
        <w:keepNext/>
      </w:pPr>
      <w:r>
        <w:rPr>
          <w:b/>
          <w:color w:val="000000"/>
          <w:sz w:val="24"/>
        </w:rPr>
        <w:t>T01  Inserção exclusiva na subseção 2.1</w:t>
      </w:r>
    </w:p>
    <w:p>
      <w:pPr>
        <w:keepNext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Tabela 1 — Estatística descritiva de posição e dispersão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left w:val="nil" w:sz="12" w:color="000000"/>
          <w:bottom w:val="single" w:sz="12" w:color="000000"/>
          <w:right w:val="nil" w:sz="12" w:color="000000"/>
          <w:insideH w:val="nil" w:sz="12" w:color="000000"/>
          <w:insideV w:val="nil" w:sz="12" w:color="000000"/>
        </w:tblBorders>
      </w:tblPr>
      <w:tblGrid>
        <w:gridCol w:w="2770"/>
        <w:gridCol w:w="869"/>
        <w:gridCol w:w="1521"/>
        <w:gridCol w:w="1304"/>
        <w:gridCol w:w="1304"/>
        <w:gridCol w:w="1304"/>
      </w:tblGrid>
      <w:tr>
        <w:trPr>
          <w:tblHeader/>
          <w:cantSplit/>
        </w:trPr>
        <w:tc>
          <w:tcPr>
            <w:tcW w:type="dxa" w:w="2770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Variável e unidade</w:t>
            </w:r>
          </w:p>
        </w:tc>
        <w:tc>
          <w:tcPr>
            <w:tcW w:type="dxa" w:w="869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n</w:t>
            </w:r>
          </w:p>
        </w:tc>
        <w:tc>
          <w:tcPr>
            <w:tcW w:type="dxa" w:w="1521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Cobertura (%)</w:t>
            </w:r>
          </w:p>
        </w:tc>
        <w:tc>
          <w:tcPr>
            <w:tcW w:type="dxa" w:w="1304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Média</w:t>
            </w:r>
          </w:p>
        </w:tc>
        <w:tc>
          <w:tcPr>
            <w:tcW w:type="dxa" w:w="1304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Mediana</w:t>
            </w:r>
          </w:p>
        </w:tc>
        <w:tc>
          <w:tcPr>
            <w:tcW w:type="dxa" w:w="1304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DP</w:t>
            </w:r>
          </w:p>
        </w:tc>
      </w:tr>
      <w:tr>
        <w:trPr>
          <w:cantSplit/>
        </w:trPr>
        <w:tc>
          <w:tcPr>
            <w:tcW w:type="dxa" w:w="277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POA medida (W/m²)</w:t>
            </w:r>
          </w:p>
        </w:tc>
        <w:tc>
          <w:tcPr>
            <w:tcW w:type="dxa" w:w="86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4401</w:t>
            </w:r>
          </w:p>
        </w:tc>
        <w:tc>
          <w:tcPr>
            <w:tcW w:type="dxa" w:w="1521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99,55</w:t>
            </w:r>
          </w:p>
        </w:tc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580,72</w:t>
            </w:r>
          </w:p>
        </w:tc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623,87</w:t>
            </w:r>
          </w:p>
        </w:tc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331,80</w:t>
            </w:r>
          </w:p>
        </w:tc>
      </w:tr>
      <w:tr>
        <w:trPr>
          <w:cantSplit/>
        </w:trPr>
        <w:tc>
          <w:tcPr>
            <w:tcW w:type="dxa" w:w="277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Temperatura do ar (°C)</w:t>
            </w:r>
          </w:p>
        </w:tc>
        <w:tc>
          <w:tcPr>
            <w:tcW w:type="dxa" w:w="86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4401</w:t>
            </w:r>
          </w:p>
        </w:tc>
        <w:tc>
          <w:tcPr>
            <w:tcW w:type="dxa" w:w="1521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99,55</w:t>
            </w:r>
          </w:p>
        </w:tc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24,54</w:t>
            </w:r>
          </w:p>
        </w:tc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25,17</w:t>
            </w:r>
          </w:p>
        </w:tc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6,44</w:t>
            </w:r>
          </w:p>
        </w:tc>
      </w:tr>
      <w:tr>
        <w:trPr>
          <w:cantSplit/>
        </w:trPr>
        <w:tc>
          <w:tcPr>
            <w:tcW w:type="dxa" w:w="277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Velocidade do vento (m/s)</w:t>
            </w:r>
          </w:p>
        </w:tc>
        <w:tc>
          <w:tcPr>
            <w:tcW w:type="dxa" w:w="86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4401</w:t>
            </w:r>
          </w:p>
        </w:tc>
        <w:tc>
          <w:tcPr>
            <w:tcW w:type="dxa" w:w="1521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99,55</w:t>
            </w:r>
          </w:p>
        </w:tc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2,96</w:t>
            </w:r>
          </w:p>
        </w:tc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2,59</w:t>
            </w:r>
          </w:p>
        </w:tc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1,61</w:t>
            </w:r>
          </w:p>
        </w:tc>
      </w:tr>
      <w:tr>
        <w:trPr>
          <w:cantSplit/>
        </w:trPr>
        <w:tc>
          <w:tcPr>
            <w:tcW w:type="dxa" w:w="277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Temperatura operacional estimada (°C)</w:t>
            </w:r>
          </w:p>
        </w:tc>
        <w:tc>
          <w:tcPr>
            <w:tcW w:type="dxa" w:w="86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4401</w:t>
            </w:r>
          </w:p>
        </w:tc>
        <w:tc>
          <w:tcPr>
            <w:tcW w:type="dxa" w:w="1521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99,55</w:t>
            </w:r>
          </w:p>
        </w:tc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37,82</w:t>
            </w:r>
          </w:p>
        </w:tc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38,63</w:t>
            </w:r>
          </w:p>
        </w:tc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12,36</w:t>
            </w:r>
          </w:p>
        </w:tc>
      </w:tr>
      <w:tr>
        <w:trPr>
          <w:cantSplit/>
        </w:trPr>
        <w:tc>
          <w:tcPr>
            <w:tcW w:type="dxa" w:w="277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Potência AC observada (kW)</w:t>
            </w:r>
          </w:p>
        </w:tc>
        <w:tc>
          <w:tcPr>
            <w:tcW w:type="dxa" w:w="86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4401</w:t>
            </w:r>
          </w:p>
        </w:tc>
        <w:tc>
          <w:tcPr>
            <w:tcW w:type="dxa" w:w="1521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99,55</w:t>
            </w:r>
          </w:p>
        </w:tc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410,82</w:t>
            </w:r>
          </w:p>
        </w:tc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456,32</w:t>
            </w:r>
          </w:p>
        </w:tc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217,74</w:t>
            </w:r>
          </w:p>
        </w:tc>
      </w:tr>
      <w:tr>
        <w:trPr>
          <w:cantSplit/>
        </w:trPr>
        <w:tc>
          <w:tcPr>
            <w:tcW w:type="dxa" w:w="277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Potência AC simulada (kW)</w:t>
            </w:r>
          </w:p>
        </w:tc>
        <w:tc>
          <w:tcPr>
            <w:tcW w:type="dxa" w:w="86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4401</w:t>
            </w:r>
          </w:p>
        </w:tc>
        <w:tc>
          <w:tcPr>
            <w:tcW w:type="dxa" w:w="1521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99,55</w:t>
            </w:r>
          </w:p>
        </w:tc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442,59</w:t>
            </w:r>
          </w:p>
        </w:tc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495,98</w:t>
            </w:r>
          </w:p>
        </w:tc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238,65</w:t>
            </w:r>
          </w:p>
        </w:tc>
      </w:tr>
      <w:tr>
        <w:trPr>
          <w:cantSplit/>
        </w:trPr>
        <w:tc>
          <w:tcPr>
            <w:tcW w:type="dxa" w:w="2770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Resíduo simulado − observado (kW)</w:t>
            </w:r>
          </w:p>
        </w:tc>
        <w:tc>
          <w:tcPr>
            <w:tcW w:type="dxa" w:w="869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4401</w:t>
            </w:r>
          </w:p>
        </w:tc>
        <w:tc>
          <w:tcPr>
            <w:tcW w:type="dxa" w:w="1521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99,55</w:t>
            </w:r>
          </w:p>
        </w:tc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31,77</w:t>
            </w:r>
          </w:p>
        </w:tc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38,86</w:t>
            </w:r>
          </w:p>
        </w:tc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52,77</w:t>
            </w:r>
          </w:p>
        </w:tc>
      </w:tr>
    </w:tbl>
    <w:p>
      <w:pPr>
        <w:keepNext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keepLines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Nota: Mesmos 4.401 pares diurnos; 4.421 intervalos esperados pelo critério solar. DP amostral com ddof=1. A cobertura é conjunta, não a cobertura individual de cada sensor.</w:t>
      </w:r>
    </w:p>
    <w:p>
      <w:pPr>
        <w:keepNext/>
      </w:pPr>
      <w:r>
        <w:rPr>
          <w:b/>
          <w:color w:val="000000"/>
          <w:sz w:val="24"/>
        </w:rPr>
        <w:t>T02  Inserção exclusiva na subseção 2.1</w:t>
      </w:r>
    </w:p>
    <w:p>
      <w:pPr>
        <w:keepNext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Tabela 2 — Extremos e quartis dos mesmos pares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left w:val="nil" w:sz="12" w:color="000000"/>
          <w:bottom w:val="single" w:sz="12" w:color="000000"/>
          <w:right w:val="nil" w:sz="12" w:color="000000"/>
          <w:insideH w:val="nil" w:sz="12" w:color="000000"/>
          <w:insideV w:val="nil" w:sz="12" w:color="000000"/>
        </w:tblBorders>
      </w:tblPr>
      <w:tblGrid>
        <w:gridCol w:w="3024"/>
        <w:gridCol w:w="1209"/>
        <w:gridCol w:w="1209"/>
        <w:gridCol w:w="1209"/>
        <w:gridCol w:w="1209"/>
        <w:gridCol w:w="1209"/>
      </w:tblGrid>
      <w:tr>
        <w:trPr>
          <w:tblHeader/>
          <w:cantSplit/>
        </w:trPr>
        <w:tc>
          <w:tcPr>
            <w:tcW w:type="dxa" w:w="3024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Variável e unidade</w:t>
            </w:r>
          </w:p>
        </w:tc>
        <w:tc>
          <w:tcPr>
            <w:tcW w:type="dxa" w:w="1209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Mínimo</w:t>
            </w:r>
          </w:p>
        </w:tc>
        <w:tc>
          <w:tcPr>
            <w:tcW w:type="dxa" w:w="1209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Q1</w:t>
            </w:r>
          </w:p>
        </w:tc>
        <w:tc>
          <w:tcPr>
            <w:tcW w:type="dxa" w:w="1209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Q3</w:t>
            </w:r>
          </w:p>
        </w:tc>
        <w:tc>
          <w:tcPr>
            <w:tcW w:type="dxa" w:w="1209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Máximo</w:t>
            </w:r>
          </w:p>
        </w:tc>
        <w:tc>
          <w:tcPr>
            <w:tcW w:type="dxa" w:w="1209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IQR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POA medida (W/m²)</w:t>
            </w:r>
          </w:p>
        </w:tc>
        <w:tc>
          <w:tcPr>
            <w:tcW w:type="dxa" w:w="120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7,00</w:t>
            </w:r>
          </w:p>
        </w:tc>
        <w:tc>
          <w:tcPr>
            <w:tcW w:type="dxa" w:w="120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264,60</w:t>
            </w:r>
          </w:p>
        </w:tc>
        <w:tc>
          <w:tcPr>
            <w:tcW w:type="dxa" w:w="120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897,83</w:t>
            </w:r>
          </w:p>
        </w:tc>
        <w:tc>
          <w:tcPr>
            <w:tcW w:type="dxa" w:w="120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1298,00</w:t>
            </w:r>
          </w:p>
        </w:tc>
        <w:tc>
          <w:tcPr>
            <w:tcW w:type="dxa" w:w="120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633,23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Temperatura do ar (°C)</w:t>
            </w:r>
          </w:p>
        </w:tc>
        <w:tc>
          <w:tcPr>
            <w:tcW w:type="dxa" w:w="120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4,83</w:t>
            </w:r>
          </w:p>
        </w:tc>
        <w:tc>
          <w:tcPr>
            <w:tcW w:type="dxa" w:w="120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20,61</w:t>
            </w:r>
          </w:p>
        </w:tc>
        <w:tc>
          <w:tcPr>
            <w:tcW w:type="dxa" w:w="120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29,33</w:t>
            </w:r>
          </w:p>
        </w:tc>
        <w:tc>
          <w:tcPr>
            <w:tcW w:type="dxa" w:w="120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38,83</w:t>
            </w:r>
          </w:p>
        </w:tc>
        <w:tc>
          <w:tcPr>
            <w:tcW w:type="dxa" w:w="120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8,72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Velocidade do vento (m/s)</w:t>
            </w:r>
          </w:p>
        </w:tc>
        <w:tc>
          <w:tcPr>
            <w:tcW w:type="dxa" w:w="120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0,45</w:t>
            </w:r>
          </w:p>
        </w:tc>
        <w:tc>
          <w:tcPr>
            <w:tcW w:type="dxa" w:w="120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1,79</w:t>
            </w:r>
          </w:p>
        </w:tc>
        <w:tc>
          <w:tcPr>
            <w:tcW w:type="dxa" w:w="120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3,71</w:t>
            </w:r>
          </w:p>
        </w:tc>
        <w:tc>
          <w:tcPr>
            <w:tcW w:type="dxa" w:w="120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8,76</w:t>
            </w:r>
          </w:p>
        </w:tc>
        <w:tc>
          <w:tcPr>
            <w:tcW w:type="dxa" w:w="120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1,92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Temperatura operacional estimada (°C)</w:t>
            </w:r>
          </w:p>
        </w:tc>
        <w:tc>
          <w:tcPr>
            <w:tcW w:type="dxa" w:w="120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6,32</w:t>
            </w:r>
          </w:p>
        </w:tc>
        <w:tc>
          <w:tcPr>
            <w:tcW w:type="dxa" w:w="120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28,50</w:t>
            </w:r>
          </w:p>
        </w:tc>
        <w:tc>
          <w:tcPr>
            <w:tcW w:type="dxa" w:w="120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47,64</w:t>
            </w:r>
          </w:p>
        </w:tc>
        <w:tc>
          <w:tcPr>
            <w:tcW w:type="dxa" w:w="120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64,41</w:t>
            </w:r>
          </w:p>
        </w:tc>
        <w:tc>
          <w:tcPr>
            <w:tcW w:type="dxa" w:w="120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19,14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Potência AC observada (kW)</w:t>
            </w:r>
          </w:p>
        </w:tc>
        <w:tc>
          <w:tcPr>
            <w:tcW w:type="dxa" w:w="120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0,00</w:t>
            </w:r>
          </w:p>
        </w:tc>
        <w:tc>
          <w:tcPr>
            <w:tcW w:type="dxa" w:w="120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213,76</w:t>
            </w:r>
          </w:p>
        </w:tc>
        <w:tc>
          <w:tcPr>
            <w:tcW w:type="dxa" w:w="120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611,84</w:t>
            </w:r>
          </w:p>
        </w:tc>
        <w:tc>
          <w:tcPr>
            <w:tcW w:type="dxa" w:w="120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705,92</w:t>
            </w:r>
          </w:p>
        </w:tc>
        <w:tc>
          <w:tcPr>
            <w:tcW w:type="dxa" w:w="120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398,08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Potência AC simulada (kW)</w:t>
            </w:r>
          </w:p>
        </w:tc>
        <w:tc>
          <w:tcPr>
            <w:tcW w:type="dxa" w:w="120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1,13</w:t>
            </w:r>
          </w:p>
        </w:tc>
        <w:tc>
          <w:tcPr>
            <w:tcW w:type="dxa" w:w="120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221,91</w:t>
            </w:r>
          </w:p>
        </w:tc>
        <w:tc>
          <w:tcPr>
            <w:tcW w:type="dxa" w:w="120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673,80</w:t>
            </w:r>
          </w:p>
        </w:tc>
        <w:tc>
          <w:tcPr>
            <w:tcW w:type="dxa" w:w="120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720,00</w:t>
            </w:r>
          </w:p>
        </w:tc>
        <w:tc>
          <w:tcPr>
            <w:tcW w:type="dxa" w:w="120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451,89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Resíduo simulado − observado (kW)</w:t>
            </w:r>
          </w:p>
        </w:tc>
        <w:tc>
          <w:tcPr>
            <w:tcW w:type="dxa" w:w="1209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-225,47</w:t>
            </w:r>
          </w:p>
        </w:tc>
        <w:tc>
          <w:tcPr>
            <w:tcW w:type="dxa" w:w="1209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-2,65</w:t>
            </w:r>
          </w:p>
        </w:tc>
        <w:tc>
          <w:tcPr>
            <w:tcW w:type="dxa" w:w="1209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65,95</w:t>
            </w:r>
          </w:p>
        </w:tc>
        <w:tc>
          <w:tcPr>
            <w:tcW w:type="dxa" w:w="1209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348,16</w:t>
            </w:r>
          </w:p>
        </w:tc>
        <w:tc>
          <w:tcPr>
            <w:tcW w:type="dxa" w:w="1209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68,59</w:t>
            </w:r>
          </w:p>
        </w:tc>
      </w:tr>
    </w:tbl>
    <w:p>
      <w:pPr>
        <w:keepNext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keepLines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Nota: IQR=Q3−Q1. A moda não foi incluída para variáveis contínuas.</w:t>
      </w:r>
    </w:p>
    <w:p>
      <w:pPr>
        <w:pStyle w:val="Heading1"/>
        <w:pageBreakBefore/>
      </w:pPr>
      <w:r>
        <w:t>Subseção 2.2</w:t>
      </w:r>
    </w:p>
    <w:p>
      <w:pPr>
        <w:keepNext/>
      </w:pPr>
      <w:r>
        <w:rPr>
          <w:b/>
          <w:color w:val="000000"/>
          <w:sz w:val="24"/>
        </w:rPr>
        <w:t>T14  Inserção exclusiva na subseção 2.2</w:t>
      </w:r>
    </w:p>
    <w:p>
      <w:pPr>
        <w:keepNext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Tabela 14 — Albedo e geometrias com componentes estimadas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left w:val="nil" w:sz="12" w:color="000000"/>
          <w:bottom w:val="single" w:sz="12" w:color="000000"/>
          <w:right w:val="nil" w:sz="12" w:color="000000"/>
          <w:insideH w:val="nil" w:sz="12" w:color="000000"/>
          <w:insideV w:val="nil" w:sz="12" w:color="000000"/>
        </w:tblBorders>
      </w:tblPr>
      <w:tblGrid>
        <w:gridCol w:w="6047"/>
        <w:gridCol w:w="3024"/>
      </w:tblGrid>
      <w:tr>
        <w:trPr>
          <w:tblHeader/>
          <w:cantSplit/>
        </w:trPr>
        <w:tc>
          <w:tcPr>
            <w:tcW w:type="dxa" w:w="6047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Cenário</w:t>
            </w:r>
          </w:p>
        </w:tc>
        <w:tc>
          <w:tcPr>
            <w:tcW w:type="dxa" w:w="3024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H POA estimada (kWh/m²)</w:t>
            </w:r>
          </w:p>
        </w:tc>
      </w:tr>
      <w:tr>
        <w:trPr>
          <w:cantSplit/>
        </w:trPr>
        <w:tc>
          <w:tcPr>
            <w:tcW w:type="dxa" w:w="604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Albedo 0.1 (hipótese)</w:t>
            </w:r>
          </w:p>
        </w:tc>
        <w:tc>
          <w:tcPr>
            <w:tcW w:type="dxa" w:w="302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631,953</w:t>
            </w:r>
          </w:p>
        </w:tc>
      </w:tr>
      <w:tr>
        <w:trPr>
          <w:cantSplit/>
        </w:trPr>
        <w:tc>
          <w:tcPr>
            <w:tcW w:type="dxa" w:w="604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Albedo 0.2 (hipótese)</w:t>
            </w:r>
          </w:p>
        </w:tc>
        <w:tc>
          <w:tcPr>
            <w:tcW w:type="dxa" w:w="302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634,817</w:t>
            </w:r>
          </w:p>
        </w:tc>
      </w:tr>
      <w:tr>
        <w:trPr>
          <w:cantSplit/>
        </w:trPr>
        <w:tc>
          <w:tcPr>
            <w:tcW w:type="dxa" w:w="604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Albedo 0.4 (hipótese)</w:t>
            </w:r>
          </w:p>
        </w:tc>
        <w:tc>
          <w:tcPr>
            <w:tcW w:type="dxa" w:w="302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640,547</w:t>
            </w:r>
          </w:p>
        </w:tc>
      </w:tr>
      <w:tr>
        <w:trPr>
          <w:cantSplit/>
        </w:trPr>
        <w:tc>
          <w:tcPr>
            <w:tcW w:type="dxa" w:w="604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Horizontal</w:t>
            </w:r>
          </w:p>
        </w:tc>
        <w:tc>
          <w:tcPr>
            <w:tcW w:type="dxa" w:w="302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611,513</w:t>
            </w:r>
          </w:p>
        </w:tc>
      </w:tr>
      <w:tr>
        <w:trPr>
          <w:cantSplit/>
        </w:trPr>
        <w:tc>
          <w:tcPr>
            <w:tcW w:type="dxa" w:w="604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Arranjo real: 25°, sul</w:t>
            </w:r>
          </w:p>
        </w:tc>
        <w:tc>
          <w:tcPr>
            <w:tcW w:type="dxa" w:w="302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634,817</w:t>
            </w:r>
          </w:p>
        </w:tc>
      </w:tr>
      <w:tr>
        <w:trPr>
          <w:cantSplit/>
        </w:trPr>
        <w:tc>
          <w:tcPr>
            <w:tcW w:type="dxa" w:w="604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Fachada sul</w:t>
            </w:r>
          </w:p>
        </w:tc>
        <w:tc>
          <w:tcPr>
            <w:tcW w:type="dxa" w:w="302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281,991</w:t>
            </w:r>
          </w:p>
        </w:tc>
      </w:tr>
      <w:tr>
        <w:trPr>
          <w:cantSplit/>
        </w:trPr>
        <w:tc>
          <w:tcPr>
            <w:tcW w:type="dxa" w:w="604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Fachada leste</w:t>
            </w:r>
          </w:p>
        </w:tc>
        <w:tc>
          <w:tcPr>
            <w:tcW w:type="dxa" w:w="302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269,976</w:t>
            </w:r>
          </w:p>
        </w:tc>
      </w:tr>
      <w:tr>
        <w:trPr>
          <w:cantSplit/>
        </w:trPr>
        <w:tc>
          <w:tcPr>
            <w:tcW w:type="dxa" w:w="6047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Fachada oeste</w:t>
            </w:r>
          </w:p>
        </w:tc>
        <w:tc>
          <w:tcPr>
            <w:tcW w:type="dxa" w:w="3024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339,674</w:t>
            </w:r>
          </w:p>
        </w:tc>
      </w:tr>
    </w:tbl>
    <w:p>
      <w:pPr>
        <w:keepNext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keepLines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Nota: Mesmas 1.037 horas elegíveis da inversão; não é irradiação integral do trimestre. Sensibilidade de albedo mantendo componentes estimadas com referência 0,20. R14–R16 e R29.</w:t>
      </w:r>
    </w:p>
    <w:p>
      <w:pPr>
        <w:pStyle w:val="Heading1"/>
        <w:pageBreakBefore/>
      </w:pPr>
      <w:r>
        <w:t>Subseção 2.3</w:t>
      </w:r>
    </w:p>
    <w:p>
      <w:pPr>
        <w:keepNext/>
      </w:pPr>
      <w:r>
        <w:rPr>
          <w:b/>
          <w:color w:val="000000"/>
          <w:sz w:val="24"/>
        </w:rPr>
        <w:t>T12  Inserção exclusiva na subseção 2.3</w:t>
      </w:r>
    </w:p>
    <w:p>
      <w:pPr>
        <w:keepNext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Tabela 12 — Sensibilidade de sujidade e ventilação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left w:val="nil" w:sz="12" w:color="000000"/>
          <w:bottom w:val="single" w:sz="12" w:color="000000"/>
          <w:right w:val="nil" w:sz="12" w:color="000000"/>
          <w:insideH w:val="nil" w:sz="12" w:color="000000"/>
          <w:insideV w:val="nil" w:sz="12" w:color="000000"/>
        </w:tblBorders>
      </w:tblPr>
      <w:tblGrid>
        <w:gridCol w:w="2341"/>
        <w:gridCol w:w="4389"/>
        <w:gridCol w:w="2341"/>
      </w:tblGrid>
      <w:tr>
        <w:trPr>
          <w:tblHeader/>
          <w:cantSplit/>
        </w:trPr>
        <w:tc>
          <w:tcPr>
            <w:tcW w:type="dxa" w:w="2341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Sujidade assumida (%)</w:t>
            </w:r>
          </w:p>
        </w:tc>
        <w:tc>
          <w:tcPr>
            <w:tcW w:type="dxa" w:w="4389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Condição térmica</w:t>
            </w:r>
          </w:p>
        </w:tc>
        <w:tc>
          <w:tcPr>
            <w:tcW w:type="dxa" w:w="2341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Energia AC (MWh)</w:t>
            </w:r>
          </w:p>
        </w:tc>
      </w:tr>
      <w:tr>
        <w:trPr>
          <w:cantSplit/>
        </w:trPr>
        <w:tc>
          <w:tcPr>
            <w:tcW w:type="dxa" w:w="2341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</w:t>
            </w:r>
          </w:p>
        </w:tc>
        <w:tc>
          <w:tcPr>
            <w:tcW w:type="dxa" w:w="438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Ventilação de referência</w:t>
            </w:r>
          </w:p>
        </w:tc>
        <w:tc>
          <w:tcPr>
            <w:tcW w:type="dxa" w:w="2341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486,955</w:t>
            </w:r>
          </w:p>
        </w:tc>
      </w:tr>
      <w:tr>
        <w:trPr>
          <w:cantSplit/>
        </w:trPr>
        <w:tc>
          <w:tcPr>
            <w:tcW w:type="dxa" w:w="2341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</w:t>
            </w:r>
          </w:p>
        </w:tc>
        <w:tc>
          <w:tcPr>
            <w:tcW w:type="dxa" w:w="438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Menor ventilação, cenário</w:t>
            </w:r>
          </w:p>
        </w:tc>
        <w:tc>
          <w:tcPr>
            <w:tcW w:type="dxa" w:w="2341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455,193</w:t>
            </w:r>
          </w:p>
        </w:tc>
      </w:tr>
      <w:tr>
        <w:trPr>
          <w:cantSplit/>
        </w:trPr>
        <w:tc>
          <w:tcPr>
            <w:tcW w:type="dxa" w:w="2341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</w:t>
            </w:r>
          </w:p>
        </w:tc>
        <w:tc>
          <w:tcPr>
            <w:tcW w:type="dxa" w:w="438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Ventilação de referência</w:t>
            </w:r>
          </w:p>
        </w:tc>
        <w:tc>
          <w:tcPr>
            <w:tcW w:type="dxa" w:w="2341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479,859</w:t>
            </w:r>
          </w:p>
        </w:tc>
      </w:tr>
      <w:tr>
        <w:trPr>
          <w:cantSplit/>
        </w:trPr>
        <w:tc>
          <w:tcPr>
            <w:tcW w:type="dxa" w:w="2341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</w:t>
            </w:r>
          </w:p>
        </w:tc>
        <w:tc>
          <w:tcPr>
            <w:tcW w:type="dxa" w:w="438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Menor ventilação, cenário</w:t>
            </w:r>
          </w:p>
        </w:tc>
        <w:tc>
          <w:tcPr>
            <w:tcW w:type="dxa" w:w="2341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448,212</w:t>
            </w:r>
          </w:p>
        </w:tc>
      </w:tr>
      <w:tr>
        <w:trPr>
          <w:cantSplit/>
        </w:trPr>
        <w:tc>
          <w:tcPr>
            <w:tcW w:type="dxa" w:w="2341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</w:t>
            </w:r>
          </w:p>
        </w:tc>
        <w:tc>
          <w:tcPr>
            <w:tcW w:type="dxa" w:w="438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Ventilação de referência</w:t>
            </w:r>
          </w:p>
        </w:tc>
        <w:tc>
          <w:tcPr>
            <w:tcW w:type="dxa" w:w="2341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468,477</w:t>
            </w:r>
          </w:p>
        </w:tc>
      </w:tr>
      <w:tr>
        <w:trPr>
          <w:cantSplit/>
        </w:trPr>
        <w:tc>
          <w:tcPr>
            <w:tcW w:type="dxa" w:w="2341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</w:t>
            </w:r>
          </w:p>
        </w:tc>
        <w:tc>
          <w:tcPr>
            <w:tcW w:type="dxa" w:w="4389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Menor ventilação, cenário</w:t>
            </w:r>
          </w:p>
        </w:tc>
        <w:tc>
          <w:tcPr>
            <w:tcW w:type="dxa" w:w="2341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437,403</w:t>
            </w:r>
          </w:p>
        </w:tc>
      </w:tr>
    </w:tbl>
    <w:p>
      <w:pPr>
        <w:keepNext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keepLines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Nota: Atenuação adicional do módulo relativamente à leitura POA. Não é perda de sujeira medida. Mesmos pares da cadeia principal. R07 e R28.</w:t>
      </w:r>
    </w:p>
    <w:p>
      <w:pPr>
        <w:pStyle w:val="Heading1"/>
        <w:pageBreakBefore/>
      </w:pPr>
      <w:r>
        <w:t>Subseção 2.4</w:t>
      </w:r>
    </w:p>
    <w:p>
      <w:pPr>
        <w:keepNext/>
      </w:pPr>
      <w:r>
        <w:rPr>
          <w:b/>
          <w:color w:val="000000"/>
          <w:sz w:val="24"/>
        </w:rPr>
        <w:t>Q04  Inserção exclusiva na subseção 2.4</w:t>
      </w:r>
    </w:p>
    <w:p>
      <w:pPr>
        <w:keepNext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Quadro 4 — Ambiente e instalação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3007"/>
        <w:gridCol w:w="3007"/>
        <w:gridCol w:w="3058"/>
      </w:tblGrid>
      <w:tr>
        <w:trPr>
          <w:tblHeader/>
          <w:cantSplit/>
        </w:trPr>
        <w:tc>
          <w:tcPr>
            <w:tcW w:type="dxa" w:w="300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Subseção e responsável</w:t>
            </w:r>
          </w:p>
        </w:tc>
        <w:tc>
          <w:tcPr>
            <w:tcW w:type="dxa" w:w="300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Entregas e evidência</w:t>
            </w:r>
          </w:p>
        </w:tc>
        <w:tc>
          <w:tcPr>
            <w:tcW w:type="dxa" w:w="305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Limite e referências</w:t>
            </w:r>
          </w:p>
        </w:tc>
      </w:tr>
      <w:tr>
        <w:trPr>
          <w:cantSplit/>
        </w:trPr>
        <w:tc>
          <w:tcPr>
            <w:tcW w:type="dxa" w:w="300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2.1 Condições térmicas</w:t>
              <w:br/>
              <w:t>Vannessa e Thais</w:t>
            </w:r>
          </w:p>
        </w:tc>
        <w:tc>
          <w:tcPr>
            <w:tcW w:type="dxa" w:w="300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Estatística ambiental e sensibilidade de ventilação.</w:t>
              <w:br/>
              <w:t>Evidência: Medições ambientais e temperatura estimada.</w:t>
              <w:br/>
              <w:t>Figuras: G03.</w:t>
            </w:r>
          </w:p>
        </w:tc>
        <w:tc>
          <w:tcPr>
            <w:tcW w:type="dxa" w:w="305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U₀ e U₁ genéricos; T operacional é aproximação de célula, sem validação térmica independente.</w:t>
              <w:br/>
              <w:t>Fontes: R07.</w:t>
            </w:r>
          </w:p>
        </w:tc>
      </w:tr>
      <w:tr>
        <w:trPr>
          <w:cantSplit/>
        </w:trPr>
        <w:tc>
          <w:tcPr>
            <w:tcW w:type="dxa" w:w="300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2.2 Albedo e ambiente radiativo da superfície</w:t>
              <w:br/>
              <w:t>Vannessa e Thais</w:t>
            </w:r>
          </w:p>
        </w:tc>
        <w:tc>
          <w:tcPr>
            <w:tcW w:type="dxa" w:w="300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Sensibilidade de albedo e quadro de hipóteses.</w:t>
              <w:br/>
              <w:t>Evidência: Cenário de sensibilidade.</w:t>
              <w:br/>
              <w:t>Figuras: G22.</w:t>
            </w:r>
          </w:p>
        </w:tc>
        <w:tc>
          <w:tcPr>
            <w:tcW w:type="dxa" w:w="305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Expressão isotrópica para reflexão do solo. Não há albedo medido; a leitura POA principal não recebe uma segunda contribuição refletida.</w:t>
              <w:br/>
              <w:t>Fontes: R06, R14, R29.</w:t>
            </w:r>
          </w:p>
        </w:tc>
      </w:tr>
      <w:tr>
        <w:trPr>
          <w:cantSplit/>
        </w:trPr>
        <w:tc>
          <w:tcPr>
            <w:tcW w:type="dxa" w:w="300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2.3 Sombreamento sujidade e obstruções locais</w:t>
              <w:br/>
              <w:t>Vannessa e Thais</w:t>
            </w:r>
          </w:p>
        </w:tc>
        <w:tc>
          <w:tcPr>
            <w:tcW w:type="dxa" w:w="300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Sensibilidade e alertas sem atribuição causal automática.</w:t>
              <w:br/>
              <w:t>Evidência: Sensibilidade hipotética e fundamentos.</w:t>
              <w:br/>
              <w:t>Figuras: G20.</w:t>
            </w:r>
          </w:p>
        </w:tc>
        <w:tc>
          <w:tcPr>
            <w:tcW w:type="dxa" w:w="305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Sem histórico de limpeza e mapa de sombras; o resíduo não identifica a perda real de sujidade ou sombra.</w:t>
              <w:br/>
              <w:t>Fontes: R28, R25.</w:t>
            </w:r>
          </w:p>
        </w:tc>
      </w:tr>
      <w:tr>
        <w:trPr>
          <w:cantSplit/>
        </w:trPr>
        <w:tc>
          <w:tcPr>
            <w:tcW w:type="dxa" w:w="300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2.4 Geometria de instalação e exposição do arranjo fotovoltaico</w:t>
              <w:br/>
              <w:t>Vannessa e Thais</w:t>
            </w:r>
          </w:p>
        </w:tc>
        <w:tc>
          <w:tcPr>
            <w:tcW w:type="dxa" w:w="300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Convenções geométricas e limite de dados de espaçamento.</w:t>
              <w:br/>
              <w:t>Evidência: Geometria documentada e extensão didática.</w:t>
              <w:br/>
              <w:t>Figuras: F01.</w:t>
            </w:r>
          </w:p>
        </w:tc>
        <w:tc>
          <w:tcPr>
            <w:tcW w:type="dxa" w:w="305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 expressão de projeção é um exemplo plano sem dimensão de fileira real; não calcula o sombreamento específico da usina.</w:t>
              <w:br/>
              <w:t>Fontes: R03, R09, R29.</w:t>
            </w:r>
          </w:p>
        </w:tc>
      </w:tr>
    </w:tbl>
    <w:p>
      <w:pPr>
        <w:keepNext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keepLines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Nota: A matriz CSV e Markdown contém também objetivos, entradas e métodos. Cobertura didática não significa validação independente de cada etapa.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701" w:right="1134" w:bottom="1134" w:left="1701" w:header="1134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/>
      <w:ind w:firstLine="0"/>
      <w:jc w:val="right"/>
    </w:pPr>
    <w:fldSimple w:instr="PAGE">
      <w:r>
        <w:rPr>
          <w:rFonts w:ascii="Times New Roman" w:hAnsi="Times New Roman" w:eastAsia="Times New Roman" w:cs="Times New Roman"/>
          <w:sz w:val="24"/>
          <w:szCs w:val="24"/>
        </w:rPr>
        <w:t>1</w:t>
      </w:r>
    </w:fldSimple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before="0" w:after="0"/>
      <w:ind w:firstLine="709" w:left="0" w:right="0"/>
      <w:jc w:val="both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keepNext w:val="0"/>
      <w:widowControl/>
      <w:tabs>
        <w:tab w:val="center" w:pos="4680"/>
        <w:tab w:val="right" w:pos="9360"/>
      </w:tabs>
      <w:spacing w:after="240" w:line="240" w:lineRule="auto" w:before="240"/>
      <w:ind w:firstLine="0" w:left="0" w:right="0"/>
      <w:jc w:val="left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keepNext w:val="0"/>
      <w:widowControl/>
      <w:tabs>
        <w:tab w:val="center" w:pos="4680"/>
        <w:tab w:val="right" w:pos="9360"/>
      </w:tabs>
      <w:spacing w:after="240" w:line="240" w:lineRule="auto" w:before="240"/>
      <w:ind w:firstLine="0" w:left="0" w:right="0"/>
      <w:jc w:val="left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240" w:line="240" w:lineRule="auto"/>
      <w:ind w:firstLine="0" w:left="0" w:right="0"/>
      <w:jc w:val="left"/>
      <w:outlineLvl w:val="0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240" w:line="240" w:lineRule="auto"/>
      <w:ind w:firstLine="0" w:left="0" w:right="0"/>
      <w:jc w:val="left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240" w:line="240" w:lineRule="auto"/>
      <w:ind w:firstLine="0" w:left="0" w:right="0"/>
      <w:jc w:val="left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000000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Times New Roman" w:cs="Times New Roman"/>
      <w:color w:val="000000"/>
      <w:sz w:val="24"/>
      <w:szCs w:val="24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eastAsia="Times New Roman" w:cs="Times New Roman"/>
      <w:color w:val="000000"/>
      <w:sz w:val="24"/>
      <w:szCs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240" w:line="240" w:lineRule="auto" w:before="240"/>
      <w:ind w:firstLine="0" w:left="0" w:right="0"/>
      <w:contextualSpacing/>
      <w:jc w:val="center"/>
    </w:pPr>
    <w:rPr>
      <w:rFonts w:ascii="Times New Roman" w:hAnsi="Times New Roman" w:eastAsia="Times New Roman" w:cs="Times New Roman"/>
      <w:b/>
      <w:color w:val="000000"/>
      <w:spacing w:val="5"/>
      <w:kern w:val="28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000000"/>
      <w:spacing w:val="5"/>
      <w:kern w:val="28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0" w:line="360" w:lineRule="auto" w:before="0"/>
      <w:ind w:firstLine="709" w:left="0" w:right="0"/>
      <w:jc w:val="both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000000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widowControl/>
      <w:spacing w:line="240" w:lineRule="auto" w:before="240" w:after="240"/>
      <w:ind w:firstLine="0" w:left="0" w:right="0"/>
      <w:jc w:val="left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Times New Roman" w:hAnsi="Times New Roman" w:eastAsia="Times New Roman" w:cs="Times New Roman"/>
      <w:b/>
      <w:bCs/>
      <w:i/>
      <w:iCs/>
      <w:color w:val="000000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Times New Roman" w:cs="Times New Roman"/>
      <w:b/>
      <w:bCs/>
      <w:i/>
      <w:iCs/>
      <w:color w:val="000000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Times New Roman" w:cs="Times New Roman"/>
      <w:b/>
      <w:bCs/>
      <w:i/>
      <w:iCs/>
      <w:color w:val="000000"/>
      <w:sz w:val="24"/>
      <w:szCs w:val="24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Times New Roman" w:cs="Times New Roman"/>
      <w:smallCaps/>
      <w:color w:val="000000"/>
      <w:sz w:val="24"/>
      <w:u w:val="single"/>
      <w:szCs w:val="24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Times New Roman" w:cs="Times New Roman"/>
      <w:b/>
      <w:bCs/>
      <w:smallCaps/>
      <w:color w:val="000000"/>
      <w:spacing w:val="5"/>
      <w:sz w:val="24"/>
      <w:u w:val="single"/>
      <w:szCs w:val="24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Times New Roman" w:cs="Times New Roman"/>
      <w:b/>
      <w:bCs/>
      <w:smallCaps/>
      <w:color w:val="000000"/>
      <w:spacing w:val="5"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ferênciaABNT">
    <w:name w:val="Referência ABNT"/>
    <w:basedOn w:val="Normal"/>
    <w:pPr>
      <w:keepLines/>
      <w:widowControl/>
      <w:spacing w:line="240" w:lineRule="auto" w:before="0" w:after="240"/>
      <w:ind w:left="709" w:hanging="709"/>
      <w:jc w:val="left"/>
    </w:pPr>
    <w:rPr>
      <w:rFonts w:ascii="Times New Roman" w:hAnsi="Times New Roman" w:eastAsia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Tabelas e quadros da seção 2</dc:title>
  <dc:subject>Farm Solar Array PVDAQ 2107 abril a junho de 2024</dc:subject>
  <dc:creator>Equipe SPGER0046 PPGER UFPB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