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Quadro de equações da seção 4</w:t>
      </w:r>
    </w:p>
    <w:p>
      <w:r>
        <w:t>Recurso solar e modelagem da conversão fotovoltaica   PPGER UFPB   19 de outubro de 2026</w:t>
      </w:r>
    </w:p>
    <w:p>
      <w:r>
        <w:t>Avaliação de desempenho perdas e validação da modelagem. Responsáveis: Júlia Ribeiro e Lucas Simão.</w:t>
      </w:r>
    </w:p>
    <w:p>
      <w:r>
        <w:t>Este inventário organiza 30 relações numeradas: 16 do núcleo já escrito no notebook e 14 de apoio, verificadas no código. Usar a coluna de inserção para distribuir a redação e manter os IDs nas referências cruzadas.</w:t>
      </w:r>
    </w:p>
    <w:p>
      <w:r>
        <w:t>Cada linha conta uma relação. Constantes e parâmetros não entram nessa contagem. Os itens N constituem o núcleo de inserção; os itens C detalham o método e podem ser incluídos conforme o espaço e a discussão da subseção. A numeração final do capítulo será definida na consolidação.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128"/>
        <w:gridCol w:w="1701"/>
        <w:gridCol w:w="1701"/>
        <w:gridCol w:w="2041"/>
      </w:tblGrid>
      <w:tr>
        <w:trPr>
          <w:tblHeader/>
          <w:cantSplit/>
        </w:trPr>
        <w:tc>
          <w:tcPr>
            <w:tcW w:type="dxa" w:w="3642"/>
            <w:vAlign w:val="center"/>
            <w:shd w:fill="E8EEF4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Seção</w:t>
            </w:r>
          </w:p>
        </w:tc>
        <w:tc>
          <w:tcPr>
            <w:tcW w:type="dxa" w:w="3642"/>
            <w:vAlign w:val="center"/>
            <w:shd w:fill="E8EEF4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Núcleo N</w:t>
            </w:r>
          </w:p>
        </w:tc>
        <w:tc>
          <w:tcPr>
            <w:tcW w:type="dxa" w:w="3642"/>
            <w:vAlign w:val="center"/>
            <w:shd w:fill="E8EEF4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Apoio C</w:t>
            </w:r>
          </w:p>
        </w:tc>
        <w:tc>
          <w:tcPr>
            <w:tcW w:type="dxa" w:w="3642"/>
            <w:vAlign w:val="center"/>
            <w:shd w:fill="E8EEF4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Total de relações</w:t>
            </w:r>
          </w:p>
        </w:tc>
      </w:tr>
      <w:tr>
        <w:trPr>
          <w:cantSplit/>
        </w:trPr>
        <w:tc>
          <w:tcPr>
            <w:tcW w:type="dxa" w:w="3642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4 Avaliação de desempenho perdas e validação da modelagem</w:t>
            </w:r>
          </w:p>
        </w:tc>
        <w:tc>
          <w:tcPr>
            <w:tcW w:type="dxa" w:w="3642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16</w:t>
            </w:r>
          </w:p>
        </w:tc>
        <w:tc>
          <w:tcPr>
            <w:tcW w:type="dxa" w:w="3642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14</w:t>
            </w:r>
          </w:p>
        </w:tc>
        <w:tc>
          <w:tcPr>
            <w:tcW w:type="dxa" w:w="3642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30</w:t>
            </w:r>
          </w:p>
        </w:tc>
      </w:tr>
    </w:tbl>
    <w:p>
      <w:r>
        <w:t>A equação de Faiman possui um único ID E3.03 e local de inserção em 3.2. Em 2.1 fazer remissão a esse ID. No inventário geral os quatro quadros são reunidos para controle; cada Word de seção contém somente os itens que lhe pertencem.</w:t>
      </w:r>
    </w:p>
    <w:p>
      <w:pPr>
        <w:pStyle w:val="Heading1"/>
        <w:pageBreakBefore w:val="0"/>
      </w:pPr>
      <w:r>
        <w:t>Seção 4 Avaliação de desempenho perdas e validação da modelagem</w:t>
      </w:r>
    </w:p>
    <w:p>
      <w:r>
        <w:t>Distribuição por subseção: 4.1 com 3 relações; 4.2 com 3 relações; 4.3 com 3 relações; 4.4 com 10 relações; 4.5 com 11 relações.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191"/>
        <w:gridCol w:w="5953"/>
        <w:gridCol w:w="4989"/>
        <w:gridCol w:w="2438"/>
      </w:tblGrid>
      <w:tr>
        <w:trPr>
          <w:tblHeader/>
          <w:cantSplit/>
        </w:trPr>
        <w:tc>
          <w:tcPr>
            <w:tcW w:type="dxa" w:w="3642"/>
            <w:vAlign w:val="center"/>
            <w:shd w:fill="E8EEF4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ID e inserção</w:t>
            </w:r>
          </w:p>
        </w:tc>
        <w:tc>
          <w:tcPr>
            <w:tcW w:type="dxa" w:w="3642"/>
            <w:vAlign w:val="center"/>
            <w:shd w:fill="E8EEF4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Equação</w:t>
            </w:r>
          </w:p>
        </w:tc>
        <w:tc>
          <w:tcPr>
            <w:tcW w:type="dxa" w:w="3642"/>
            <w:vAlign w:val="center"/>
            <w:shd w:fill="E8EEF4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Função e símbolos</w:t>
            </w:r>
          </w:p>
        </w:tc>
        <w:tc>
          <w:tcPr>
            <w:tcW w:type="dxa" w:w="3642"/>
            <w:vAlign w:val="center"/>
            <w:shd w:fill="E8EEF4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Origem e uso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E4.01</w:t>
              <w:br/>
              <w:t>4.1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  <w:sz w:val="26"/>
                </w:rPr>
                <m:t>Δ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j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j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−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j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+</m:t>
                  </m:r>
                  <m:r>
                    <w:rPr>
                      <w:rFonts w:ascii="Cambria Math" w:hAnsi="Cambria Math"/>
                      <w:sz w:val="26"/>
                    </w:rPr>
                    <m:t>1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Variação de energia entre estágios. </w:t>
            </w:r>
            <w:r>
              <w:rPr>
                <w:rFonts w:ascii="Times New Roman" w:hAnsi="Times New Roman"/>
                <w:color w:val="000000"/>
                <w:sz w:val="24"/>
              </w:rPr>
              <w:t>Quantificar a diferença calculada entre dois estágios consecutivos.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Ej energias na mesma máscara temporal em kWh.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Núcleo do notebook</w:t>
              <w:br/>
              <w:t>R08, R11, R12, R25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E4.02</w:t>
              <w:br/>
              <w:t>4.1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w:rPr>
                      <w:rFonts w:ascii="Cambria Math" w:hAnsi="Cambria Math"/>
                      <w:sz w:val="26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sz w:val="26"/>
                    </w:rPr>
                    <m:t>​</m:t>
                  </m:r>
                </m:sup>
                <m:e>
                  <m:r>
                    <w:rPr>
                      <w:rFonts w:ascii="Cambria Math" w:hAnsi="Cambria Math"/>
                      <w:sz w:val="26"/>
                    </w:rPr>
                    <m:t>Δ</m:t>
                  </m:r>
                </m:e>
              </m:nary>
              <m:sSub>
                <m:e>
                  <m:r>
                    <w:rPr>
                      <w:rFonts w:ascii="Cambria Math" w:hAnsi="Cambria Math"/>
                      <w:sz w:val="26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j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−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f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i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n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a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l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Fechamento da cadeia de energia. </w:t>
            </w:r>
            <w:r>
              <w:rPr>
                <w:rFonts w:ascii="Times New Roman" w:hAnsi="Times New Roman"/>
                <w:color w:val="000000"/>
                <w:sz w:val="24"/>
              </w:rPr>
              <w:t>Conferir que a soma das variações recupera a diferença total.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Mesmos estágios e intervalos; podem ocorrer ganhos sob frio.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Núcleo do notebook</w:t>
              <w:br/>
              <w:t>R08, R11, R12, R25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E4.03</w:t>
              <w:br/>
              <w:t>4.1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l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i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n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0</m:t>
                  </m:r>
                </m:sub>
              </m:sSub>
              <m:f>
                <m:fPr>
                  <m:type m:val="bar"/>
                </m:fPr>
                <m:num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t>G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P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O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t>G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r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e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f</m:t>
                      </m:r>
                    </m:sub>
                  </m:sSub>
                </m:den>
              </m:f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Potência linear de referência. </w:t>
            </w:r>
            <w:r>
              <w:rPr>
                <w:rFonts w:ascii="Times New Roman" w:hAnsi="Times New Roman"/>
                <w:color w:val="000000"/>
                <w:sz w:val="24"/>
              </w:rPr>
              <w:t>Definir a referência linear STC que inicia a cadeia energética.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P0 capacidade declarada; Gref igual a 1000 W/m²; potências na mesma unidade.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C Apoio do código</w:t>
              <w:br/>
              <w:t>R08, R11, R12, R25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E4.04</w:t>
              <w:br/>
              <w:t>4.2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r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P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O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A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/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r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e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f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Produtividade de referência. </w:t>
            </w:r>
            <w:r>
              <w:rPr>
                <w:rFonts w:ascii="Times New Roman" w:hAnsi="Times New Roman"/>
                <w:color w:val="000000"/>
                <w:sz w:val="24"/>
              </w:rPr>
              <w:t>Expressar o recurso como horas equivalentes no plano e período definidos.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HPOA em kWh/m²; Gref igual a 1 kW/m²; Yr em h.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Núcleo do notebook</w:t>
              <w:br/>
              <w:t>R12, R30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E4.05</w:t>
              <w:br/>
              <w:t>4.2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a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D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C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/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0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Produtividade do arranjo. </w:t>
            </w:r>
            <w:r>
              <w:rPr>
                <w:rFonts w:ascii="Times New Roman" w:hAnsi="Times New Roman"/>
                <w:color w:val="000000"/>
                <w:sz w:val="24"/>
              </w:rPr>
              <w:t>Normalizar a energia CC pela capacidade declarada.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EDC em kWh; P0 em kWp; Ya em kWh/kWp ou horas equivalentes.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Núcleo do notebook</w:t>
              <w:br/>
              <w:t>R12, R30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E4.06</w:t>
              <w:br/>
              <w:t>4.2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f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A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C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/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0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Produtividade final. </w:t>
            </w:r>
            <w:r>
              <w:rPr>
                <w:rFonts w:ascii="Times New Roman" w:hAnsi="Times New Roman"/>
                <w:color w:val="000000"/>
                <w:sz w:val="24"/>
              </w:rPr>
              <w:t>Normalizar a energia CA observada ou modelada pela capacidade.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EAC em kWh; P0 em kWp; Yf em kWh/kWp.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Núcleo do notebook</w:t>
              <w:br/>
              <w:t>R12, R30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E4.07</w:t>
              <w:br/>
              <w:t>4.3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  <w:sz w:val="26"/>
                </w:rPr>
                <m:t>P</m:t>
              </m:r>
              <m:r>
                <w:rPr>
                  <w:rFonts w:ascii="Cambria Math" w:hAnsi="Cambria Math"/>
                  <w:sz w:val="26"/>
                </w:rPr>
                <m:t>R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f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/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r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Razão de desempenho. </w:t>
            </w:r>
            <w:r>
              <w:rPr>
                <w:rFonts w:ascii="Times New Roman" w:hAnsi="Times New Roman"/>
                <w:color w:val="000000"/>
                <w:sz w:val="24"/>
              </w:rPr>
              <w:t>Relacionar a produtividade final ao recurso da mesma janela.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PR adimensional; multiplicar por 100 quando apresentado em %.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Núcleo do notebook</w:t>
              <w:br/>
              <w:t>R12, R30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E4.08</w:t>
              <w:br/>
              <w:t>4.3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c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r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−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a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Perda de captura normalizada. </w:t>
            </w:r>
            <w:r>
              <w:rPr>
                <w:rFonts w:ascii="Times New Roman" w:hAnsi="Times New Roman"/>
                <w:color w:val="000000"/>
                <w:sz w:val="24"/>
              </w:rPr>
              <w:t>Comparar o recurso e a produtividade CC do modelo.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Lc em horas equivalentes.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Núcleo do notebook</w:t>
              <w:br/>
              <w:t>R12, R30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E4.09</w:t>
              <w:br/>
              <w:t>4.3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s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a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−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f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Perda de sistema normalizada. </w:t>
            </w:r>
            <w:r>
              <w:rPr>
                <w:rFonts w:ascii="Times New Roman" w:hAnsi="Times New Roman"/>
                <w:color w:val="000000"/>
                <w:sz w:val="24"/>
              </w:rPr>
              <w:t>Comparar as produtividades CC e CA do modelo.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Ls em horas equivalentes.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Núcleo do notebook</w:t>
              <w:br/>
              <w:t>R12, R30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E4.10</w:t>
              <w:br/>
              <w:t>4.4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−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i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Resíduo de potência. </w:t>
            </w:r>
            <w:r>
              <w:rPr>
                <w:rFonts w:ascii="Times New Roman" w:hAnsi="Times New Roman"/>
                <w:color w:val="000000"/>
                <w:sz w:val="24"/>
              </w:rPr>
              <w:t>Fixar o sinal do erro usado nas tabelas e gráficos.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pi potência simulada; yi observada; ambas em kW.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C Apoio do código</w:t>
              <w:br/>
              <w:t>R27, R25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E4.11</w:t>
              <w:br/>
              <w:t>4.4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  <w:sz w:val="26"/>
                </w:rPr>
                <m:t>M</m:t>
              </m:r>
              <m:r>
                <w:rPr>
                  <w:rFonts w:ascii="Cambria Math" w:hAnsi="Cambria Math"/>
                  <w:sz w:val="26"/>
                </w:rPr>
                <m:t>B</m:t>
              </m:r>
              <m:r>
                <w:rPr>
                  <w:rFonts w:ascii="Cambria Math" w:hAnsi="Cambria Math"/>
                  <w:sz w:val="26"/>
                </w:rPr>
                <m:t>E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w:rPr>
                      <w:rFonts w:ascii="Cambria Math" w:hAnsi="Cambria Math"/>
                      <w:sz w:val="26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26"/>
                    </w:rP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w:rPr>
                      <w:rFonts w:ascii="Cambria Math" w:hAnsi="Cambria Math"/>
                      <w:sz w:val="26"/>
                    </w:rPr>
                    <m:t>i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=</m:t>
                  </m:r>
                  <m:r>
                    <w:rPr>
                      <w:rFonts w:ascii="Cambria Math" w:hAnsi="Cambria Math"/>
                      <w:sz w:val="26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 w:val="26"/>
                    </w:rPr>
                    <m:t>n</m:t>
                  </m:r>
                </m:sup>
                <m:e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t>i</m:t>
                      </m:r>
                    </m:sub>
                  </m:sSub>
                </m:e>
              </m:nary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Erro médio de viés. </w:t>
            </w:r>
            <w:r>
              <w:rPr>
                <w:rFonts w:ascii="Times New Roman" w:hAnsi="Times New Roman"/>
                <w:color w:val="000000"/>
                <w:sz w:val="24"/>
              </w:rPr>
              <w:t>Quantificar a tendência média de superestimação ou subestimação.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pares válidos; MBE em kW.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Núcleo do notebook</w:t>
              <w:br/>
              <w:t>R27, R25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E4.12</w:t>
              <w:br/>
              <w:t>4.4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  <w:sz w:val="26"/>
                </w:rPr>
                <m:t>M</m:t>
              </m:r>
              <m:r>
                <w:rPr>
                  <w:rFonts w:ascii="Cambria Math" w:hAnsi="Cambria Math"/>
                  <w:sz w:val="26"/>
                </w:rPr>
                <m:t>A</m:t>
              </m:r>
              <m:r>
                <w:rPr>
                  <w:rFonts w:ascii="Cambria Math" w:hAnsi="Cambria Math"/>
                  <w:sz w:val="26"/>
                </w:rPr>
                <m:t>E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w:rPr>
                      <w:rFonts w:ascii="Cambria Math" w:hAnsi="Cambria Math"/>
                      <w:sz w:val="26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26"/>
                    </w:rP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w:rPr>
                      <w:rFonts w:ascii="Cambria Math" w:hAnsi="Cambria Math"/>
                      <w:sz w:val="26"/>
                    </w:rPr>
                    <m:t>i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=</m:t>
                  </m:r>
                  <m:r>
                    <w:rPr>
                      <w:rFonts w:ascii="Cambria Math" w:hAnsi="Cambria Math"/>
                      <w:sz w:val="26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 w:val="26"/>
                    </w:rPr>
                    <m:t>n</m:t>
                  </m:r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w:rPr>
                              <w:rFonts w:ascii="Cambria Math" w:hAnsi="Cambria Math"/>
                              <w:sz w:val="26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6"/>
                            </w:rPr>
                            <m:t>i</m:t>
                          </m:r>
                        </m:sub>
                      </m:sSub>
                    </m:e>
                  </m:d>
                </m:e>
              </m:nary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Erro absoluto médio. </w:t>
            </w:r>
            <w:r>
              <w:rPr>
                <w:rFonts w:ascii="Times New Roman" w:hAnsi="Times New Roman"/>
                <w:color w:val="000000"/>
                <w:sz w:val="24"/>
              </w:rPr>
              <w:t>Quantificar a magnitude média do erro sem cancelamento de sinais.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MAE em kW.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Núcleo do notebook</w:t>
              <w:br/>
              <w:t>R27, R25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E4.13</w:t>
              <w:br/>
              <w:t>4.4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  <w:sz w:val="26"/>
                </w:rPr>
                <m:t>R</m:t>
              </m:r>
              <m:r>
                <w:rPr>
                  <w:rFonts w:ascii="Cambria Math" w:hAnsi="Cambria Math"/>
                  <w:sz w:val="26"/>
                </w:rPr>
                <m:t>M</m:t>
              </m:r>
              <m:r>
                <w:rPr>
                  <w:rFonts w:ascii="Cambria Math" w:hAnsi="Cambria Math"/>
                  <w:sz w:val="26"/>
                </w:rPr>
                <m:t>S</m:t>
              </m:r>
              <m:r>
                <w:rPr>
                  <w:rFonts w:ascii="Cambria Math" w:hAnsi="Cambria Math"/>
                  <w:sz w:val="26"/>
                </w:rPr>
                <m:t>E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w:rPr>
                          <w:rFonts w:ascii="Cambria Math" w:hAnsi="Cambria Math"/>
                          <w:sz w:val="26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sz w:val="26"/>
                        </w:rP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w:rPr>
                          <w:rFonts w:ascii="Cambria Math" w:hAnsi="Cambria Math"/>
                          <w:sz w:val="26"/>
                        </w:rPr>
                        <m:t>i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=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  <w:sz w:val="26"/>
                        </w:rPr>
                        <m:t>n</m:t>
                      </m:r>
                    </m:sup>
                    <m:e>
                      <m:sSubSup>
                        <m:e>
                          <m:r>
                            <w:rPr>
                              <w:rFonts w:ascii="Cambria Math" w:hAnsi="Cambria Math"/>
                              <w:sz w:val="26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6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 w:val="26"/>
                            </w:rPr>
                            <m:t>2</m:t>
                          </m:r>
                        </m:sup>
                      </m:sSubSup>
                    </m:e>
                  </m:nary>
                </m:e>
              </m:rad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Raiz do erro quadrático médio. </w:t>
            </w:r>
            <w:r>
              <w:rPr>
                <w:rFonts w:ascii="Times New Roman" w:hAnsi="Times New Roman"/>
                <w:color w:val="000000"/>
                <w:sz w:val="24"/>
              </w:rPr>
              <w:t>Resumir a magnitude quadrática dos mesmos resíduos.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RMSE em kW.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Núcleo do notebook</w:t>
              <w:br/>
              <w:t>R27, R25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E4.14</w:t>
              <w:br/>
              <w:t>4.4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  <w:sz w:val="26"/>
                </w:rPr>
                <m:t>n</m:t>
              </m:r>
              <m:r>
                <w:rPr>
                  <w:rFonts w:ascii="Cambria Math" w:hAnsi="Cambria Math"/>
                  <w:sz w:val="26"/>
                </w:rPr>
                <m:t>M</m:t>
              </m:r>
              <m:r>
                <w:rPr>
                  <w:rFonts w:ascii="Cambria Math" w:hAnsi="Cambria Math"/>
                  <w:sz w:val="26"/>
                </w:rPr>
                <m:t>B</m:t>
              </m:r>
              <m:r>
                <w:rPr>
                  <w:rFonts w:ascii="Cambria Math" w:hAnsi="Cambria Math"/>
                  <w:sz w:val="26"/>
                </w:rPr>
                <m:t>E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r>
                <w:rPr>
                  <w:rFonts w:ascii="Cambria Math" w:hAnsi="Cambria Math"/>
                  <w:sz w:val="26"/>
                </w:rPr>
                <m:t>100</m:t>
              </m:r>
              <m:f>
                <m:fPr>
                  <m:type m:val="bar"/>
                </m:fPr>
                <m:num>
                  <m:r>
                    <w:rPr>
                      <w:rFonts w:ascii="Cambria Math" w:hAnsi="Cambria Math"/>
                      <w:sz w:val="26"/>
                    </w:rPr>
                    <m:t>M</m:t>
                  </m:r>
                  <m:r>
                    <w:rPr>
                      <w:rFonts w:ascii="Cambria Math" w:hAnsi="Cambria Math"/>
                      <w:sz w:val="26"/>
                    </w:rPr>
                    <m:t>B</m:t>
                  </m:r>
                  <m:r>
                    <w:rPr>
                      <w:rFonts w:ascii="Cambria Math" w:hAnsi="Cambria Math"/>
                      <w:sz w:val="26"/>
                    </w:rPr>
                    <m:t>E</m:t>
                  </m:r>
                </m:num>
                <m:den>
                  <m:bar>
                    <m:barPr>
                      <m:pos m:val="top"/>
                    </m:barPr>
                    <m:e>
                      <m:r>
                        <w:rPr>
                          <w:rFonts w:ascii="Cambria Math" w:hAnsi="Cambria Math"/>
                          <w:sz w:val="26"/>
                        </w:rPr>
                        <m:t>y</m:t>
                      </m:r>
                    </m:e>
                  </m:bar>
                </m:den>
              </m:f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Viés normalizado. </w:t>
            </w:r>
            <w:r>
              <w:rPr>
                <w:rFonts w:ascii="Times New Roman" w:hAnsi="Times New Roman"/>
                <w:color w:val="000000"/>
                <w:sz w:val="24"/>
              </w:rPr>
              <w:t>Expressar o viés em relação à média observada dos pares.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nMBE em %; média observada não nula.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C Apoio do código</w:t>
              <w:br/>
              <w:t>R27, R25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E4.15</w:t>
              <w:br/>
              <w:t>4.4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  <w:sz w:val="26"/>
                </w:rPr>
                <m:t>n</m:t>
              </m:r>
              <m:r>
                <w:rPr>
                  <w:rFonts w:ascii="Cambria Math" w:hAnsi="Cambria Math"/>
                  <w:sz w:val="26"/>
                </w:rPr>
                <m:t>R</m:t>
              </m:r>
              <m:r>
                <w:rPr>
                  <w:rFonts w:ascii="Cambria Math" w:hAnsi="Cambria Math"/>
                  <w:sz w:val="26"/>
                </w:rPr>
                <m:t>M</m:t>
              </m:r>
              <m:r>
                <w:rPr>
                  <w:rFonts w:ascii="Cambria Math" w:hAnsi="Cambria Math"/>
                  <w:sz w:val="26"/>
                </w:rPr>
                <m:t>S</m:t>
              </m:r>
              <m:r>
                <w:rPr>
                  <w:rFonts w:ascii="Cambria Math" w:hAnsi="Cambria Math"/>
                  <w:sz w:val="26"/>
                </w:rPr>
                <m:t>E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r>
                <w:rPr>
                  <w:rFonts w:ascii="Cambria Math" w:hAnsi="Cambria Math"/>
                  <w:sz w:val="26"/>
                </w:rPr>
                <m:t>100</m:t>
              </m:r>
              <m:f>
                <m:fPr>
                  <m:type m:val="bar"/>
                </m:fPr>
                <m:num>
                  <m:r>
                    <w:rPr>
                      <w:rFonts w:ascii="Cambria Math" w:hAnsi="Cambria Math"/>
                      <w:sz w:val="26"/>
                    </w:rPr>
                    <m:t>R</m:t>
                  </m:r>
                  <m:r>
                    <w:rPr>
                      <w:rFonts w:ascii="Cambria Math" w:hAnsi="Cambria Math"/>
                      <w:sz w:val="26"/>
                    </w:rPr>
                    <m:t>M</m:t>
                  </m:r>
                  <m:r>
                    <w:rPr>
                      <w:rFonts w:ascii="Cambria Math" w:hAnsi="Cambria Math"/>
                      <w:sz w:val="26"/>
                    </w:rPr>
                    <m:t>S</m:t>
                  </m:r>
                  <m:r>
                    <w:rPr>
                      <w:rFonts w:ascii="Cambria Math" w:hAnsi="Cambria Math"/>
                      <w:sz w:val="26"/>
                    </w:rPr>
                    <m:t>E</m:t>
                  </m:r>
                </m:num>
                <m:den>
                  <m:bar>
                    <m:barPr>
                      <m:pos m:val="top"/>
                    </m:barPr>
                    <m:e>
                      <m:r>
                        <w:rPr>
                          <w:rFonts w:ascii="Cambria Math" w:hAnsi="Cambria Math"/>
                          <w:sz w:val="26"/>
                        </w:rPr>
                        <m:t>y</m:t>
                      </m:r>
                    </m:e>
                  </m:bar>
                </m:den>
              </m:f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Erro quadrático normalizado. </w:t>
            </w:r>
            <w:r>
              <w:rPr>
                <w:rFonts w:ascii="Times New Roman" w:hAnsi="Times New Roman"/>
                <w:color w:val="000000"/>
                <w:sz w:val="24"/>
              </w:rPr>
              <w:t>Expressar o RMSE em relação à média observada dos pares.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nRMSE em %; não usar potência nominal como denominador neste projeto.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C Apoio do código</w:t>
              <w:br/>
              <w:t>R27, R25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E4.16</w:t>
              <w:br/>
              <w:t>4.4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  <w:sz w:val="26"/>
                </w:rPr>
                <m:t>r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w:rPr>
                          <w:rFonts w:ascii="Cambria Math" w:hAnsi="Cambria Math"/>
                          <w:sz w:val="26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/>
                          <w:sz w:val="26"/>
                        </w:rPr>
                        <m:t>​</m:t>
                      </m:r>
                    </m: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w:rPr>
                                  <w:rFonts w:ascii="Cambria Math" w:hAnsi="Cambria Math"/>
                                  <w:sz w:val="26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6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6"/>
                            </w:rPr>
                            <m:rPr>
                              <m:sty m:val="p"/>
                            </m:rPr>
                            <m:t>−</m:t>
                          </m:r>
                          <m:bar>
                            <m:barPr>
                              <m:pos m:val="top"/>
                            </m:barPr>
                            <m:e>
                              <m:r>
                                <w:rPr>
                                  <w:rFonts w:ascii="Cambria Math" w:hAnsi="Cambria Math"/>
                                  <w:sz w:val="26"/>
                                </w:rPr>
                                <m:t>y</m:t>
                              </m:r>
                            </m:e>
                          </m:bar>
                        </m:e>
                      </m:d>
                    </m:e>
                  </m:nary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w:rPr>
                              <w:rFonts w:ascii="Cambria Math" w:hAnsi="Cambria Math"/>
                              <w:sz w:val="26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6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−</m:t>
                      </m:r>
                      <m:bar>
                        <m:barPr>
                          <m:pos m:val="top"/>
                        </m:barPr>
                        <m:e>
                          <m:r>
                            <w:rPr>
                              <w:rFonts w:ascii="Cambria Math" w:hAnsi="Cambria Math"/>
                              <w:sz w:val="26"/>
                            </w:rPr>
                            <m:t>p</m:t>
                          </m:r>
                        </m:e>
                      </m:bar>
                    </m:e>
                  </m:d>
                </m:num>
                <m:den>
                  <m:rad>
                    <m:radPr>
                      <m:degHide m:val="on"/>
                    </m:radPr>
                    <m:deg/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w:rPr>
                              <w:rFonts w:ascii="Cambria Math" w:hAnsi="Cambria Math"/>
                              <w:sz w:val="26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 w:val="26"/>
                            </w:rPr>
                            <m:t>​</m:t>
                          </m:r>
                        </m:sup>
                        <m:e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6"/>
                                        </w:rPr>
                                        <m:t>y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26"/>
                                        </w:rPr>
                                        <m:t>i</m:t>
                                      </m:r>
                                    </m:sub>
                                  </m:sSub>
                                  <m:r>
                                    <w:rPr>
                                      <w:rFonts w:ascii="Cambria Math" w:hAnsi="Cambria Math"/>
                                      <w:sz w:val="26"/>
                                    </w:rPr>
                                    <m:rPr>
                                      <m:sty m:val="p"/>
                                    </m:rPr>
                                    <m:t>−</m:t>
                                  </m:r>
                                  <m:bar>
                                    <m:barPr>
                                      <m:pos m:val="top"/>
                                    </m:bar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6"/>
                                        </w:rPr>
                                        <m:t>y</m:t>
                                      </m:r>
                                    </m:e>
                                  </m:bar>
                                </m:e>
                              </m:d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26"/>
                                </w:rPr>
                                <m:t>2</m:t>
                              </m:r>
                            </m:sup>
                          </m:sSup>
                        </m:e>
                      </m:nary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w:rPr>
                              <w:rFonts w:ascii="Cambria Math" w:hAnsi="Cambria Math"/>
                              <w:sz w:val="26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 w:val="26"/>
                            </w:rPr>
                            <m:t>​</m:t>
                          </m:r>
                        </m:sup>
                        <m:e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6"/>
                                        </w:rPr>
                                        <m:t>p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26"/>
                                        </w:rPr>
                                        <m:t>i</m:t>
                                      </m:r>
                                    </m:sub>
                                  </m:sSub>
                                  <m:r>
                                    <w:rPr>
                                      <w:rFonts w:ascii="Cambria Math" w:hAnsi="Cambria Math"/>
                                      <w:sz w:val="26"/>
                                    </w:rPr>
                                    <m:rPr>
                                      <m:sty m:val="p"/>
                                    </m:rPr>
                                    <m:t>−</m:t>
                                  </m:r>
                                  <m:bar>
                                    <m:barPr>
                                      <m:pos m:val="top"/>
                                    </m:bar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6"/>
                                        </w:rPr>
                                        <m:t>p</m:t>
                                      </m:r>
                                    </m:e>
                                  </m:bar>
                                </m:e>
                              </m:d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26"/>
                                </w:rPr>
                                <m:t>2</m:t>
                              </m:r>
                            </m:sup>
                          </m:sSup>
                        </m:e>
                      </m:nary>
                    </m:e>
                  </m:rad>
                </m:den>
              </m:f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Correlação de Pearson. </w:t>
            </w:r>
            <w:r>
              <w:rPr>
                <w:rFonts w:ascii="Times New Roman" w:hAnsi="Times New Roman"/>
                <w:color w:val="000000"/>
                <w:sz w:val="24"/>
              </w:rPr>
              <w:t>Quantificar a associação linear entre observações e simulações.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 adimensional; requer variância positiva nas duas séries.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C Apoio do código</w:t>
              <w:br/>
              <w:t>R27, R25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E4.17</w:t>
              <w:br/>
              <w:t>4.4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p>
                <m:e>
                  <m:r>
                    <w:rPr>
                      <w:rFonts w:ascii="Cambria Math" w:hAnsi="Cambria Math"/>
                      <w:sz w:val="26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  <w:sz w:val="26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r>
                <w:rPr>
                  <w:rFonts w:ascii="Cambria Math" w:hAnsi="Cambria Math"/>
                  <w:sz w:val="26"/>
                </w:rPr>
                <m:t>1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∑</m:t>
                  </m:r>
                  <m:sSubSup>
                    <m:e>
                      <m:r>
                        <w:rPr>
                          <w:rFonts w:ascii="Cambria Math" w:hAnsi="Cambria Math"/>
                          <w:sz w:val="26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/>
                          <w:sz w:val="26"/>
                        </w:rPr>
                        <m:t>2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∑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w:rPr>
                                  <w:rFonts w:ascii="Cambria Math" w:hAnsi="Cambria Math"/>
                                  <w:sz w:val="26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6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6"/>
                            </w:rPr>
                            <m:rPr>
                              <m:sty m:val="p"/>
                            </m:rPr>
                            <m:t>−</m:t>
                          </m:r>
                          <m:bar>
                            <m:barPr>
                              <m:pos m:val="top"/>
                            </m:barPr>
                            <m:e>
                              <m:r>
                                <w:rPr>
                                  <w:rFonts w:ascii="Cambria Math" w:hAnsi="Cambria Math"/>
                                  <w:sz w:val="26"/>
                                </w:rPr>
                                <m:t>y</m:t>
                              </m:r>
                            </m:e>
                          </m:ba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6"/>
                        </w:rPr>
                        <m:t>2</m:t>
                      </m:r>
                    </m:sup>
                  </m:sSup>
                </m:den>
              </m:f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Coeficiente de determinação. </w:t>
            </w:r>
            <w:r>
              <w:rPr>
                <w:rFonts w:ascii="Times New Roman" w:hAnsi="Times New Roman"/>
                <w:color w:val="000000"/>
                <w:sz w:val="24"/>
              </w:rPr>
              <w:t>Comparar o erro quadrático à dispersão das observações.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R² adimensional; denominador positivo.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Núcleo do notebook</w:t>
              <w:br/>
              <w:t>R27, R25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E4.18</w:t>
              <w:br/>
              <w:t>4.4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  <w:sz w:val="26"/>
                </w:rPr>
                <m:t>k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w:rPr>
                          <w:rFonts w:ascii="Cambria Math" w:hAnsi="Cambria Math"/>
                          <w:sz w:val="26"/>
                        </w:rPr>
                        <m:t>i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∈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a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b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r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i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l</m:t>
                      </m:r>
                    </m:sub>
                    <m:sup>
                      <m:r>
                        <w:rPr>
                          <w:rFonts w:ascii="Cambria Math" w:hAnsi="Cambria Math"/>
                          <w:sz w:val="26"/>
                        </w:rPr>
                        <m:t>​</m:t>
                      </m:r>
                    </m:sup>
                    <m:e>
                      <m:sSub>
                        <m:e>
                          <m:r>
                            <w:rPr>
                              <w:rFonts w:ascii="Cambria Math" w:hAnsi="Cambria Math"/>
                              <w:sz w:val="26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6"/>
                            </w:rP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t>i</m:t>
                      </m:r>
                    </m:sub>
                  </m:sSub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w:rPr>
                          <w:rFonts w:ascii="Cambria Math" w:hAnsi="Cambria Math"/>
                          <w:sz w:val="26"/>
                        </w:rPr>
                        <m:t>i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∈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a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b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r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i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l</m:t>
                      </m:r>
                    </m:sub>
                    <m:sup>
                      <m:r>
                        <w:rPr>
                          <w:rFonts w:ascii="Cambria Math" w:hAnsi="Cambria Math"/>
                          <w:sz w:val="26"/>
                        </w:rPr>
                        <m:t>​</m:t>
                      </m:r>
                    </m:sup>
                    <m:e>
                      <m:sSubSup>
                        <m:e>
                          <m:r>
                            <w:rPr>
                              <w:rFonts w:ascii="Cambria Math" w:hAnsi="Cambria Math"/>
                              <w:sz w:val="26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6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 w:val="26"/>
                            </w:rPr>
                            <m:t>2</m:t>
                          </m:r>
                        </m:sup>
                      </m:sSubSup>
                    </m:e>
                  </m:nary>
                </m:den>
              </m:f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Fator empírico de abril. </w:t>
            </w:r>
            <w:r>
              <w:rPr>
                <w:rFonts w:ascii="Times New Roman" w:hAnsi="Times New Roman"/>
                <w:color w:val="000000"/>
                <w:sz w:val="24"/>
              </w:rPr>
              <w:t>Ajustar um fator multiplicativo secundário apenas com os pares de abril.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k adimensional; pi e yi na mesma unidade.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C Apoio do código</w:t>
              <w:br/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E4.19</w:t>
              <w:br/>
              <w:t>4.4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Sup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e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m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p</m:t>
                  </m:r>
                </m:sup>
              </m:sSubSup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r>
                <w:rPr>
                  <w:rFonts w:ascii="Cambria Math" w:hAnsi="Cambria Math"/>
                  <w:sz w:val="26"/>
                </w:rPr>
                <m:t>k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i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Potência com ajuste empírico. </w:t>
            </w:r>
            <w:r>
              <w:rPr>
                <w:rFonts w:ascii="Times New Roman" w:hAnsi="Times New Roman"/>
                <w:color w:val="000000"/>
                <w:sz w:val="24"/>
              </w:rPr>
              <w:t>Aplicar o fator de abril e reportar os resultados separadamente do modelo físico.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Potências na mesma unidade; k fixado no mês de ajuste.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C Apoio do código</w:t>
              <w:br/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E4.20</w:t>
              <w:br/>
              <w:t>4.5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  <w:sz w:val="26"/>
                </w:rPr>
                <m:t>α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r>
                <w:rPr>
                  <w:rFonts w:ascii="Cambria Math" w:hAnsi="Cambria Math"/>
                  <w:sz w:val="26"/>
                </w:rPr>
                <m:t>1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−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s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−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τ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s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Absortância solar. </w:t>
            </w:r>
            <w:r>
              <w:rPr>
                <w:rFonts w:ascii="Times New Roman" w:hAnsi="Times New Roman"/>
                <w:color w:val="000000"/>
                <w:sz w:val="24"/>
              </w:rPr>
              <w:t>Fechar a partição óptica do exemplo semitransparente.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α absortância; ρs refletância; τs transmitância solar; frações.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C Apoio do código</w:t>
              <w:br/>
              <w:t>R14, R19, R20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E4.21</w:t>
              <w:br/>
              <w:t>4.5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i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n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c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r>
                <w:rPr>
                  <w:rFonts w:ascii="Cambria Math" w:hAnsi="Cambria Math"/>
                  <w:sz w:val="26"/>
                </w:rPr>
                <m:t>G</m:t>
              </m:r>
              <m:r>
                <w:rPr>
                  <w:rFonts w:ascii="Cambria Math" w:hAnsi="Cambria Math"/>
                  <w:sz w:val="26"/>
                </w:rPr>
                <m:t>A</m:t>
              </m:r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Potência solar incidente. </w:t>
            </w:r>
            <w:r>
              <w:rPr>
                <w:rFonts w:ascii="Times New Roman" w:hAnsi="Times New Roman"/>
                <w:color w:val="000000"/>
                <w:sz w:val="24"/>
              </w:rPr>
              <w:t>Converter a irradiância do plano em potência incidente na área.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G em W/m²; A em m²; Pinc em W.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C Apoio do código</w:t>
              <w:br/>
              <w:t>R14, R19, R20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E4.22</w:t>
              <w:br/>
              <w:t>4.5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r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e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f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s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t>G</m:t>
              </m:r>
              <m:r>
                <w:rPr>
                  <w:rFonts w:ascii="Cambria Math" w:hAnsi="Cambria Math"/>
                  <w:sz w:val="26"/>
                </w:rPr>
                <m:t>A</m:t>
              </m:r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Potência solar refletida. </w:t>
            </w:r>
            <w:r>
              <w:rPr>
                <w:rFonts w:ascii="Times New Roman" w:hAnsi="Times New Roman"/>
                <w:color w:val="000000"/>
                <w:sz w:val="24"/>
              </w:rPr>
              <w:t>Quantificar a fração refletida da potência incidente.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Pref em W.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C Apoio do código</w:t>
              <w:br/>
              <w:t>R14, R19, R20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E4.23</w:t>
              <w:br/>
              <w:t>4.5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t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r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a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n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s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τ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s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t>G</m:t>
              </m:r>
              <m:r>
                <w:rPr>
                  <w:rFonts w:ascii="Cambria Math" w:hAnsi="Cambria Math"/>
                  <w:sz w:val="26"/>
                </w:rPr>
                <m:t>A</m:t>
              </m:r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Potência solar transmitida. </w:t>
            </w:r>
            <w:r>
              <w:rPr>
                <w:rFonts w:ascii="Times New Roman" w:hAnsi="Times New Roman"/>
                <w:color w:val="000000"/>
                <w:sz w:val="24"/>
              </w:rPr>
              <w:t>Quantificar a parcela solar que atravessa o elemento.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Ptrans em W; τs solar difere da transmitância visível.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C Apoio do código</w:t>
              <w:br/>
              <w:t>R14, R19, R20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E4.24</w:t>
              <w:br/>
              <w:t>4.5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  <w:sz w:val="26"/>
                </w:rPr>
                <m:t>η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min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{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max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t>η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r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e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f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rFonts w:ascii="Cambria Math" w:hAnsi="Cambria Math"/>
                          <w:sz w:val="26"/>
                        </w:rPr>
                        <m:t>1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+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t>γ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w:rPr>
                                  <w:rFonts w:ascii="Cambria Math" w:hAnsi="Cambria Math"/>
                                  <w:sz w:val="26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6"/>
                                </w:rPr>
                                <m:rPr>
                                  <m:sty m:val="p"/>
                                </m:rPr>
                                <m:t>o</m:t>
                              </m:r>
                              <m:r>
                                <w:rPr>
                                  <w:rFonts w:ascii="Cambria Math" w:hAnsi="Cambria Math"/>
                                  <w:sz w:val="26"/>
                                </w:rPr>
                                <m:rPr>
                                  <m:sty m:val="p"/>
                                </m:rPr>
                                <m:t>p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6"/>
                            </w:rPr>
                            <m:rPr>
                              <m:sty m:val="p"/>
                            </m:rPr>
                            <m:t>−</m:t>
                          </m:r>
                          <m:r>
                            <w:rPr>
                              <w:rFonts w:ascii="Cambria Math" w:hAnsi="Cambria Math"/>
                              <w:sz w:val="26"/>
                            </w:rPr>
                            <m:t>25</m:t>
                          </m:r>
                        </m:e>
                      </m:d>
                    </m:e>
                  </m:d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,</m:t>
                  </m:r>
                  <m:r>
                    <w:rPr>
                      <w:rFonts w:ascii="Cambria Math" w:hAnsi="Cambria Math"/>
                      <w:sz w:val="26"/>
                    </w:rPr>
                    <m:t>0</m:t>
                  </m:r>
                </m:e>
              </m:d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,</m:t>
              </m:r>
              <m:r>
                <w:rPr>
                  <w:rFonts w:ascii="Cambria Math" w:hAnsi="Cambria Math"/>
                  <w:sz w:val="26"/>
                </w:rPr>
                <m:t>α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}</m:t>
              </m:r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Eficiência elétrica do exemplo BIPV. </w:t>
            </w:r>
            <w:r>
              <w:rPr>
                <w:rFonts w:ascii="Times New Roman" w:hAnsi="Times New Roman"/>
                <w:color w:val="000000"/>
                <w:sz w:val="24"/>
              </w:rPr>
              <w:t>Corrigir a eficiência assumida pela temperatura e limitar a conversão à absorção.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ηref eficiência a 25 °C; γ em °C⁻¹.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C Apoio do código</w:t>
              <w:br/>
              <w:t>R14, R19, R20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E4.25</w:t>
              <w:br/>
              <w:t>4.5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e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r>
                <w:rPr>
                  <w:rFonts w:ascii="Cambria Math" w:hAnsi="Cambria Math"/>
                  <w:sz w:val="26"/>
                </w:rPr>
                <m:t>η</m:t>
              </m:r>
              <m:r>
                <w:rPr>
                  <w:rFonts w:ascii="Cambria Math" w:hAnsi="Cambria Math"/>
                  <w:sz w:val="26"/>
                </w:rPr>
                <m:t>G</m:t>
              </m:r>
              <m:r>
                <w:rPr>
                  <w:rFonts w:ascii="Cambria Math" w:hAnsi="Cambria Math"/>
                  <w:sz w:val="26"/>
                </w:rPr>
                <m:t>A</m:t>
              </m:r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Potência elétrica do elemento BIPV. </w:t>
            </w:r>
            <w:r>
              <w:rPr>
                <w:rFonts w:ascii="Times New Roman" w:hAnsi="Times New Roman"/>
                <w:color w:val="000000"/>
                <w:sz w:val="24"/>
              </w:rPr>
              <w:t>Separar a parcela convertida em eletricidade no balanço solar.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η eficiência instantânea; Pe em W.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Núcleo do notebook</w:t>
              <w:br/>
              <w:t>R14, R19, R20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E4.26</w:t>
              <w:br/>
              <w:t>4.5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a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b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s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rFonts w:ascii="Cambria Math" w:hAnsi="Cambria Math"/>
                      <w:sz w:val="26"/>
                    </w:rPr>
                    <m:t>α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−</m:t>
                  </m:r>
                  <m:r>
                    <w:rPr>
                      <w:rFonts w:ascii="Cambria Math" w:hAnsi="Cambria Math"/>
                      <w:sz w:val="26"/>
                    </w:rPr>
                    <m:t>η</m:t>
                  </m:r>
                </m:e>
              </m:d>
              <m:r>
                <w:rPr>
                  <w:rFonts w:ascii="Cambria Math" w:hAnsi="Cambria Math"/>
                  <w:sz w:val="26"/>
                </w:rPr>
                <m:t>G</m:t>
              </m:r>
              <m:r>
                <w:rPr>
                  <w:rFonts w:ascii="Cambria Math" w:hAnsi="Cambria Math"/>
                  <w:sz w:val="26"/>
                </w:rPr>
                <m:t>A</m:t>
              </m:r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Calor absorvido após conversão elétrica. </w:t>
            </w:r>
            <w:r>
              <w:rPr>
                <w:rFonts w:ascii="Times New Roman" w:hAnsi="Times New Roman"/>
                <w:color w:val="000000"/>
                <w:sz w:val="24"/>
              </w:rPr>
              <w:t>Calcular a parcela absorvida que permanece térmica.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Qabs representa potência térmica em W apesar do símbolo Q.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Núcleo do notebook</w:t>
              <w:br/>
              <w:t>R14, R19, R20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E4.27</w:t>
              <w:br/>
              <w:t>4.5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o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u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t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rFonts w:ascii="Cambria Math" w:hAnsi="Cambria Math"/>
                      <w:sz w:val="26"/>
                    </w:rPr>
                    <m:t>1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−</m:t>
                  </m:r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i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n</m:t>
                      </m:r>
                    </m:sub>
                  </m:sSub>
                </m:e>
              </m:d>
              <m:sSub>
                <m:e>
                  <m:r>
                    <w:rPr>
                      <w:rFonts w:ascii="Cambria Math" w:hAnsi="Cambria Math"/>
                      <w:sz w:val="26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a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b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s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Calor absorvido dirigido ao exterior. </w:t>
            </w:r>
            <w:r>
              <w:rPr>
                <w:rFonts w:ascii="Times New Roman" w:hAnsi="Times New Roman"/>
                <w:color w:val="000000"/>
                <w:sz w:val="24"/>
              </w:rPr>
              <w:t>Separar a fração do calor absorvido dirigida ao exterior.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fin fração dirigida ao interior entre 0 e 1; Qout em W.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C Apoio do código</w:t>
              <w:br/>
              <w:t>R14, R19, R20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E4.28</w:t>
              <w:br/>
              <w:t>4.5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i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n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τ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s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t>G</m:t>
              </m:r>
              <m:r>
                <w:rPr>
                  <w:rFonts w:ascii="Cambria Math" w:hAnsi="Cambria Math"/>
                  <w:sz w:val="26"/>
                </w:rPr>
                <m:t>A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+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i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n</m:t>
                  </m:r>
                </m:sub>
              </m:sSub>
              <m:sSub>
                <m:e>
                  <m:r>
                    <w:rPr>
                      <w:rFonts w:ascii="Cambria Math" w:hAnsi="Cambria Math"/>
                      <w:sz w:val="26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a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b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s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Ganho solar para o interior. </w:t>
            </w:r>
            <w:r>
              <w:rPr>
                <w:rFonts w:ascii="Times New Roman" w:hAnsi="Times New Roman"/>
                <w:color w:val="000000"/>
                <w:sz w:val="24"/>
              </w:rPr>
              <w:t>Somar transmissão solar e fração térmica dirigida ao interior.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Qin é potência em W; fin fração térmica interior.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Núcleo do notebook</w:t>
              <w:br/>
              <w:t>R14, R19, R20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E4.29</w:t>
              <w:br/>
              <w:t>4.5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  <w:sz w:val="26"/>
                </w:rPr>
                <m:t>S</m:t>
              </m:r>
              <m:r>
                <w:rPr>
                  <w:rFonts w:ascii="Cambria Math" w:hAnsi="Cambria Math"/>
                  <w:sz w:val="26"/>
                </w:rPr>
                <m:t>H</m:t>
              </m:r>
              <m:r>
                <w:rPr>
                  <w:rFonts w:ascii="Cambria Math" w:hAnsi="Cambria Math"/>
                  <w:sz w:val="26"/>
                </w:rPr>
                <m:t>G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e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q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τ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s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+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i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rFonts w:ascii="Cambria Math" w:hAnsi="Cambria Math"/>
                      <w:sz w:val="26"/>
                    </w:rPr>
                    <m:t>α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−</m:t>
                  </m:r>
                  <m:r>
                    <w:rPr>
                      <w:rFonts w:ascii="Cambria Math" w:hAnsi="Cambria Math"/>
                      <w:sz w:val="26"/>
                    </w:rPr>
                    <m:t>η</m:t>
                  </m:r>
                </m:e>
              </m:d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SHGC equivalente simplificado. </w:t>
            </w:r>
            <w:r>
              <w:rPr>
                <w:rFonts w:ascii="Times New Roman" w:hAnsi="Times New Roman"/>
                <w:color w:val="000000"/>
                <w:sz w:val="24"/>
              </w:rPr>
              <w:t>Normalizar o ganho solar interior pela potência incidente.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SHGCeq adimensional; não equivale a certificação de produto.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Núcleo do notebook</w:t>
              <w:br/>
              <w:t>R14, R19, R20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E4.30</w:t>
              <w:br/>
              <w:t>4.5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i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n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c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r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e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f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+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t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r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a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n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s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+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e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+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i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n</m:t>
                  </m:r>
                </m:sub>
              </m:sSub>
              <m:sSub>
                <m:e>
                  <m:r>
                    <w:rPr>
                      <w:rFonts w:ascii="Cambria Math" w:hAnsi="Cambria Math"/>
                      <w:sz w:val="26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a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b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s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+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o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u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t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Conservação do balanço solar. </w:t>
            </w:r>
            <w:r>
              <w:rPr>
                <w:rFonts w:ascii="Times New Roman" w:hAnsi="Times New Roman"/>
                <w:color w:val="000000"/>
                <w:sz w:val="24"/>
              </w:rPr>
              <w:t>Conferir a conservação das parcelas ópticas elétricas e térmicas.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Todos os termos em W; o código testa o resíduo de fechamento.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C Apoio do código</w:t>
              <w:br/>
              <w:t>R14, R19, R20</w:t>
            </w:r>
          </w:p>
        </w:tc>
      </w:tr>
    </w:tbl>
    <w:p>
      <w:r>
        <w:t>As perdas por estágio são calculadas e não identificam causas reais isoladamente. O PR exige a mesma janela de energia e irradiação. O fator empírico usa apenas abril. O balanço semitransparente BIPV é hipotético e seu SHGC equivalente não constitui certificação.</w:t>
      </w:r>
    </w:p>
    <w:p>
      <w:pPr>
        <w:pStyle w:val="Heading1"/>
      </w:pPr>
      <w:r>
        <w:t>Convenções para a redação</w:t>
      </w:r>
    </w:p>
    <w:p>
      <w:r>
        <w:t>Usar o mesmo plano, intervalo e máscara temporal nas comparações. G designa irradiância; H irradiação; P potência e E energia. As temperaturas são expressas em °C; diferenças de temperatura também podem ser expressas em K. Os ângulos devem seguir uma convenção única de azimute.</w:t>
      </w:r>
    </w:p>
    <w:p>
      <w:r>
        <w:t>O caso comum é PVDAQ 2107, abril a junho de 2024. As 4401 observações diurnas pareadas não representam todos os intervalos do trimestre. A potência nominal declarada é 893 kWp. O exemplo de associação elétrica e o balanço BIPV são hipóteses identificadas.</w:t>
      </w:r>
    </w:p>
    <w:p>
      <w:pPr>
        <w:pStyle w:val="Heading1"/>
      </w:pPr>
      <w:r>
        <w:t>Origem identificável das equações</w:t>
      </w:r>
    </w:p>
    <w:p>
      <w:r>
        <w:t>src/projeto_fv.py::performance  E4.01, E4.02, E4.04, E4.05, E4.06, E4.07, E4.08, E4.09</w:t>
      </w:r>
    </w:p>
    <w:p>
      <w:r>
        <w:t>src/projeto_fv.py::simulate  E4.03</w:t>
      </w:r>
    </w:p>
    <w:p>
      <w:r>
        <w:t>src/projeto_fv.py::metrics  E4.10, E4.11, E4.12, E4.13, E4.14, E4.15, E4.16, E4.17</w:t>
      </w:r>
    </w:p>
    <w:p>
      <w:r>
        <w:t>src/projeto_fv.py::run_models  E4.18, E4.19</w:t>
      </w:r>
    </w:p>
    <w:p>
      <w:r>
        <w:t>src/projeto_fv.py::bipv_scenario  E4.20, E4.21, E4.22, E4.23, E4.24, E4.25, E4.26, E4.27, E4.28, E4.29, E4.30</w:t>
      </w:r>
    </w:p>
    <w:p>
      <w:r>
        <w:t>O núcleo N foi conferido nas 19 subseções do notebook e na matriz do capítulo da revisão 17ffe0eeb7d7. A fórmula repetida em 2.1 e 3.2 recebeu um só ID. Conversões de unidade, máscaras de qualidade e algoritmos internos de SPA, CEC e Perez–Driesse permanecem descritos no código e nas referências, sem numeração editorial adicional.</w:t>
      </w:r>
    </w:p>
    <w:p>
      <w:r>
        <w:t>Fontes e referências metodológicas R: https://github.com/samuelasroma-byte/SPGER0046_Energias_Renovaveis/blob/main/references/Referencias_do_Projeto.md</w:t>
      </w:r>
    </w:p>
    <w:p>
      <w:r>
        <w:t>Inventário legível com localização e links: https://github.com/samuelasroma-byte/SPGER0046_Energias_Renovaveis/blob/main/docs/equacoes/README.md</w:t>
      </w:r>
    </w:p>
    <w:p>
      <w:r>
        <w:t>Os códigos R identificam as fontes já catalogadas no projeto. As equações de apoio foram transcritas do código; para a redação científica, citar a fonte metodológica correspondente e explicitar as hipóteses do estudo.</w:t>
      </w:r>
    </w:p>
    <w:sectPr w:rsidR="00FC693F" w:rsidRPr="0006063C" w:rsidSect="00034616">
      <w:footerReference w:type="default" r:id="rId9"/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/>
        <w:sz w:val="20"/>
      </w:rPr>
      <w:t xml:space="preserve">SPGER0046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00"/>
      <w:outlineLvl w:val="0"/>
    </w:pPr>
    <w:rPr>
      <w:rFonts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40" w:lineRule="auto"/>
      <w:contextualSpacing/>
    </w:pPr>
    <w:rPr>
      <w:rFonts w:ascii="Times New Roman" w:hAnsi="Times New Roman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00"/>
    </w:pPr>
    <w:rPr>
      <w:rFonts w:ascii="Times New Roman" w:hAnsi="Times New Roman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Quadro de equações da seção 4</dc:title>
  <dc:subject>Inventário editorial de equações por seção e subseção</dc:subject>
  <dc:creator>Equipe SPGER0046 PPGER UFPB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