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1</w:t>
      </w:r>
    </w:p>
    <w:p>
      <w:r>
        <w:t>Recurso solar e modelagem da conversão fotovoltaica   PPGER UFPB   19 de outubro de 2026</w:t>
      </w:r>
    </w:p>
    <w:p>
      <w:r>
        <w:t>Fundamentos e caracterização do recurso solar. Responsáveis: Samuel.</w:t>
      </w:r>
    </w:p>
    <w:p>
      <w:r>
        <w:t>Este inventário organiza 6 relações numeradas: 6 escritas nas células de método do notebook e 0 complementares explicitadas a partir do código. Usar a coluna de inserção para distribuir a redação e manter os IDs nas referências cruzadas.</w:t>
      </w:r>
    </w:p>
    <w:p>
      <w:r>
        <w:t>A coluna de aplicação distingue conversão principal, tratamento, avaliação, fundamentação, ilustrações e cenários. N e C indicam onde a relação foi registrada e não separam modelos físicos de cenários. Cada símbolo recebe descrição e unidade na própria linha; 1 indica adimensional.</w:t>
      </w:r>
    </w:p>
    <w:p>
      <w:r>
        <w:t>O modelo A converte POA medida e meteorologia local por atenuação assumida, Faiman, CEC de diodo único, perdas CC, inversor PVWatts e perdas CA. A transposição exploratória, a aproximação CC PVWatts, o ajuste empírico e o balanço BIPV são identificados em suas respectivas aplicações.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Notebook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Código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1 Fundamentos e caracterização do recurso solar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0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6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1 Fundamentos e caracterização do recurso solar</w:t>
      </w:r>
    </w:p>
    <w:p>
      <w:pPr>
        <w:keepNext/>
      </w:pPr>
      <w:r>
        <w:t>Distribuição por subseção: 1.1 com 2 relações; 1.2 com 2 relações; 1.3 com 1 relação; 1.4 com 1 relação.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E1.01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φ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δ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ω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zenital.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posição do Sol à latitude e ao tempo solar.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θz: ângulo zenital solar [°]; φ: latitude do local [°]; δ: declinação solar [°]; ω: ângulo horário solar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E1.02</w:t>
              <w:br/>
              <w:t>1.1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0</m:t>
                  </m:r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extraterrestre horizontal. </w:t>
            </w:r>
            <w:r>
              <w:rPr>
                <w:rFonts w:ascii="Times New Roman" w:hAnsi="Times New Roman"/>
                <w:color w:val="000000"/>
                <w:sz w:val="24"/>
              </w:rPr>
              <w:t>Projetar a irradiância extraterrestre normal na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G0h: irradiância extraterrestre horizontal [W/m²]; G0n: irradiância extraterrestre normal [W/m²]; θz: ângulo zenital solar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Geometria calculada e seleção de intervalos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R04, R05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E1.03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N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,</m:t>
                  </m:r>
                  <m:r>
                    <w:rPr>
                      <w:rFonts w:ascii="Cambria Math" w:hAnsi="Cambria Math"/>
                      <w:sz w:val="26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t>D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Componentes na horizontal. </w:t>
            </w:r>
            <w:r>
              <w:rPr>
                <w:rFonts w:ascii="Times New Roman" w:hAnsi="Times New Roman"/>
                <w:color w:val="000000"/>
                <w:sz w:val="24"/>
              </w:rPr>
              <w:t>Distinguir irradiâncias global horizontal direta normal e difusa horizontal.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GHI: irradiância global horizontal [W/m²]; DNI: irradiância direta normal aos raios [W/m²]; θz: ângulo zenital solar [°]; DHI: irradiância difusa horizontal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E1.04</w:t>
              <w:br/>
              <w:t>1.2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hAnsi="Cambria Math"/>
                  <w:sz w:val="26"/>
                </w:rPr>
                <m:t>Δ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Irradiação acumulada. </w:t>
            </w:r>
            <w:r>
              <w:rPr>
                <w:rFonts w:ascii="Times New Roman" w:hAnsi="Times New Roman"/>
                <w:color w:val="000000"/>
                <w:sz w:val="24"/>
              </w:rPr>
              <w:t>Integrar irradiância média no plano e período definidos.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H: irradiação acumulada no plano e período [Wh/m²; /1000 → kWh/m²]; Gi: irradiância no intervalo i [W/m²]; Δti: duração do intervalo i; 0,25 h na série local [h];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R14, R18,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E1.05</w:t>
              <w:br/>
              <w:t>1.3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Δ</m:t>
                  </m:r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−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|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média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rFonts w:ascii="Cambria Math" w:hAnsi="Cambria Math"/>
                              <w:sz w:val="26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Variabilidade relativa da irradiância. </w:t>
            </w:r>
            <w:r>
              <w:rPr>
                <w:rFonts w:ascii="Times New Roman" w:hAnsi="Times New Roman"/>
                <w:color w:val="000000"/>
                <w:sz w:val="24"/>
              </w:rPr>
              <w:t>Ordenar os dias pelo passo absoluto médio da POA relativo à sua média.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VΔG: passo absoluto médio relativo da irradiância [1 (adimensional)]; Gi: irradiância no intervalo i [W/m²]; Gi−1: irradiância do par disponível anterior [W/m²];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E1.06</w:t>
              <w:br/>
              <w:t>1.4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C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100</m:t>
              </m:r>
              <m:r>
                <w:rPr>
                  <w:rFonts w:ascii="Cambria Math" w:hAnsi="Cambria Math"/>
                  <w:sz w:val="26"/>
                </w:rPr>
                <m:t> 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r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d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Cobertura dos dados. </w:t>
            </w:r>
            <w:r>
              <w:rPr>
                <w:rFonts w:ascii="Times New Roman" w:hAnsi="Times New Roman"/>
                <w:color w:val="000000"/>
                <w:sz w:val="24"/>
              </w:rPr>
              <w:t>Informar a proporção de intervalos válidos frente aos esperados.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C: cobertura dos dados na janela [%]; Npares: intervalos com dados válidos pareados [1 (contagem)]; Nesperados: intervalos esperados na mesma janela [1 (contagem)].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Integração ou estatística dos dados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R01, R02, R21, R22, R23, R25, R26</w:t>
            </w:r>
          </w:p>
        </w:tc>
      </w:tr>
    </w:tbl>
    <w:p>
      <w:r>
        <w:t>Os ângulos são calculados por SPA no meio dos intervalos. As componentes locais GHI DNI e DHI são reconstruídas na exploração inversa. A variabilidade usa os pares disponíveis de cada dia.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Cada linha define todas as variáveis da relação. i indexa intervalos ou observações; j indexa perdas ou estágios conforme a linha. As operações soma, produto, média, valor absoluto, mínimo e máximo não são novas variáveis.</w:t>
      </w:r>
    </w:p>
    <w:p>
      <w:r>
        <w:t>Ângulos são declarados em graus. Rotinas trigonométricas que recebem radianos exigem conversão. Azimutes partem do norte no sentido horário.</w:t>
      </w:r>
    </w:p>
    <w:p>
      <w:r>
        <w:t>Em E1.04, G em W/m² e Δt em h produzem H em Wh/m²; o código divide por 1000 para kWh/m². Em E3.18, P em kW produz E em kWh; o código converte suas séries W por /1000.</w:t>
      </w:r>
    </w:p>
    <w:p>
      <w:r>
        <w:t>Cada linha conta uma relação. Constantes e parâmetros não entram na contagem. Os itens N são o núcleo editorial já escrito e os C detalham o método; selecionar a inclusão conforme a discussão e o espaço. A numeração final do capítulo será definida na consolidação.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src/projeto_fv.py::geometry  E1.01, E1.02</w:t>
      </w:r>
    </w:p>
    <w:p>
      <w:r>
        <w:t>docs/secoes_capitulo.json::1.2  E1.03</w:t>
      </w:r>
    </w:p>
    <w:p>
      <w:r>
        <w:t>src/refinamento_fv.py::analytics  E1.04, E1.05, E1.06</w:t>
      </w:r>
    </w:p>
    <w:p>
      <w:r>
        <w:t>As fórmulas N foram conferidas nas 19 subseções do notebook e na matriz da revisão 17ffe0eeb7d7. Os algoritmos de SPA, CEC e Perez–Driesse, as conversões e os filtros estão no código. Citar as fontes R e explicitar as hipóteses na redação.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1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