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figura_vetorial1.svg" ContentType="image/svg+xml"/>
  <Override PartName="/word/media/figura_vetorial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14f1691e529393d52d263f4b0350ff5a193b03"/>
    <w:p>
      <w:pPr>
        <w:pStyle w:val="Heading1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 GEOMETRIA SOLAR E IRRADIÂNCIA EXTRATERRESTRE</w:t>
      </w:r>
    </w:p>
    <w:p>
      <w:pPr>
        <w:pStyle w:val="FirstParagraph"/>
        <w:widowControl/>
        <w:spacing w:line="360" w:lineRule="auto" w:after="120"/>
        <w:ind w:firstLine="0"/>
        <w:jc w:val="left"/>
      </w:pPr>
      <w:r>
        <w:rPr>
          <w:rFonts w:ascii="Times New Roman" w:hAnsi="Times New Roman"/>
          <w:i w:val="0"/>
          <w:color w:val="000000"/>
          <w:sz w:val="24"/>
        </w:rPr>
        <w:t>SPGER0046 — Energias Renováveis | PPGER/UFPB</w:t>
        <w:br/>
        <w:t>Capítulo: Recurso solar e modelagem da conversão fotovoltaica</w:t>
        <w:br/>
        <w:t>Samuel Constantino Teixeira</w:t>
        <w:br/>
        <w:t>Convenções: norte 0°, sentido horário; geometria no ponto médio de cada intervalo.</w:t>
      </w:r>
    </w:p>
    <w:bookmarkStart w:id="20" w:name="X53d79aed175e5e1eebb0072b027e4b86ca87bc1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1.1.1 PROBLEMA FÍSICO E FUNÇÃO DA GEOMETRIA SOLAR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caracterização do recurso solar exige distinguir a disponibilidade radiativa extraterrestre da irradiância efetivamente recebida por uma superfície terrestre. O movimento aparente do Sol define a direção instantânea de propagação da componente direta da radiação, enquanto a atmosfera e o entorno modificam o campo radiativo observado na superfície. Por essa razão, posição solar, irradiância extraterrestre e irradiância de superfície não são grandezas intercambiáveis. A geometria constitui uma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iCs/>
          <w:color w:val="000000"/>
          <w:sz w:val="24"/>
        </w:rPr>
        <w:t xml:space="preserve">condição de contorno física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para a modelagem e a interpretação das observações, mas não determina, isoladamente, a irradiância medida. Essa distinção orienta a passagem da presente subseção para as componentes radiométricas (1.2) e para a modulação atmosférica (1.3) (DUFFIE; BECKMAN; BLAIR, 2020, p. 9–15).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localização geográfica e o instante de observação são fundamentais. Para um ponto de latitude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ϕ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, longitude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λ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e tempo associado a uma escala definida, a direção solar aparente pode ser expressa por ângulos locais. Uma representação física coerente deve informar a convenção de azimute, o sistema de tempo e a posição do carimbo em relação ao intervalo da medição. Os algoritmos astronômicos, a exemplo do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iCs/>
          <w:color w:val="000000"/>
          <w:sz w:val="24"/>
        </w:rPr>
        <w:t xml:space="preserve">Solar Position Algorithm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(SPA), formalizam essas transformações e permitem representar a posição do Sol por meio do ângulo zenital e do azimute (REDA; ANDREAS, 2004; 2008).</w:t>
      </w:r>
    </w:p>
    <w:bookmarkEnd w:id="20"/>
    <w:bookmarkStart w:id="24" w:name="ângulos-de-posição-solar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1.1.2 ÂNGULOS DE POSIÇÃO SOLAR</w:t>
      </w:r>
    </w:p>
    <w:p>
      <w:pPr>
        <w:pStyle w:val="FirstParagraph"/>
        <w:keepNext/>
        <w:widowControl/>
        <w:spacing w:line="360" w:lineRule="auto" w:after="120"/>
        <w:ind w:firstLine="709"/>
      </w:pPr>
      <w:r>
        <w:t>A relação geométrica esférica entre a posição do observador e a direção solar é apresentada na equação (1):</w:t>
      </w:r>
    </w:p>
    <w:p>
      <w:pPr>
        <w:keepNext/>
        <w:keepLines/>
        <w:widowControl/>
        <w:tabs>
          <w:tab w:pos="4535" w:val="center"/>
          <w:tab w:pos="9071" w:val="right"/>
        </w:tabs>
        <w:spacing w:before="160" w:after="160" w:line="276" w:lineRule="auto"/>
        <w:ind w:firstLine="0" w:left="0" w:right="0"/>
        <w:jc w:val="left"/>
      </w:pPr>
      <w:r>
        <w:rPr>
          <w:rFonts w:ascii="Times New Roman" w:hAnsi="Times New Roman"/>
          <w:sz w:val="24"/>
        </w:rPr>
        <w:tab/>
      </w:r>
      <m:oMath>
        <m:r>
          <m:rPr>
            <m:sty m:val="p"/>
          </m:rPr>
          <w:rPr>
            <w:sz w:val="24"/>
            <w:szCs w:val="24"/>
          </w:rPr>
          <m:t>cos</m:t>
        </m:r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m:rPr>
            <m:sty m:val="p"/>
          </m:rPr>
          <w:rPr>
            <w:sz w:val="24"/>
            <w:szCs w:val="24"/>
          </w:rPr>
          <m:t>sin</m:t>
        </m:r>
        <m:r>
          <w:rPr>
            <w:sz w:val="24"/>
            <w:szCs w:val="24"/>
          </w:rPr>
          <m:t>ϕ</m:t>
        </m:r>
        <m:r>
          <m:rPr>
            <m:sty m:val="p"/>
          </m:rPr>
          <w:rPr>
            <w:sz w:val="24"/>
            <w:szCs w:val="24"/>
          </w:rPr>
          <m:t>sin</m:t>
        </m:r>
        <m:r>
          <w:rPr>
            <w:sz w:val="24"/>
            <w:szCs w:val="24"/>
          </w:rPr>
          <m:t>δ</m:t>
        </m:r>
        <m:r>
          <m:rPr>
            <m:sty m:val="p"/>
          </m:rPr>
          <w:rPr>
            <w:sz w:val="24"/>
            <w:szCs w:val="24"/>
          </w:rPr>
          <m:t>+</m:t>
        </m:r>
        <m:r>
          <m:rPr>
            <m:sty m:val="p"/>
          </m:rPr>
          <w:rPr>
            <w:sz w:val="24"/>
            <w:szCs w:val="24"/>
          </w:rPr>
          <m:t>cos</m:t>
        </m:r>
        <m:r>
          <w:rPr>
            <w:sz w:val="24"/>
            <w:szCs w:val="24"/>
          </w:rPr>
          <m:t>ϕ</m:t>
        </m:r>
        <m:r>
          <m:rPr>
            <m:sty m:val="p"/>
          </m:rPr>
          <w:rPr>
            <w:sz w:val="24"/>
            <w:szCs w:val="24"/>
          </w:rPr>
          <m:t>cos</m:t>
        </m:r>
        <m:r>
          <w:rPr>
            <w:sz w:val="24"/>
            <w:szCs w:val="24"/>
          </w:rPr>
          <m:t>δ</m:t>
        </m:r>
        <m:r>
          <m:rPr>
            <m:sty m:val="p"/>
          </m:rPr>
          <w:rPr>
            <w:sz w:val="24"/>
            <w:szCs w:val="24"/>
          </w:rPr>
          <m:t>cos</m:t>
        </m:r>
        <m:r>
          <w:rPr>
            <w:sz w:val="24"/>
            <w:szCs w:val="24"/>
          </w:rPr>
          <m:t>ω</m:t>
        </m:r>
        <m:r>
          <m:rPr>
            <m:sty m:val="p"/>
          </m:rPr>
          <w:rPr>
            <w:sz w:val="24"/>
            <w:szCs w:val="24"/>
          </w:rPr>
          <m:t>.</m:t>
        </m:r>
      </m:oMath>
      <w:r>
        <w:rPr>
          <w:rFonts w:ascii="Times New Roman" w:hAnsi="Times New Roman"/>
          <w:sz w:val="24"/>
        </w:rPr>
        <w:tab/>
        <w:t>(</w:t>
      </w:r>
      <w:bookmarkStart w:id="701" w:name="Equacao_zenital"/>
      <w:fldSimple w:instr=" SEQ Equacao \* ARABIC ">
        <w:r>
          <w:rPr>
            <w:sz w:val="24"/>
          </w:rPr>
          <w:t>1</w:t>
        </w:r>
      </w:fldSimple>
      <w:bookmarkEnd w:id="701"/>
      <w:r>
        <w:rPr>
          <w:rFonts w:ascii="Times New Roman" w:hAnsi="Times New Roman"/>
          <w:sz w:val="24"/>
        </w:rPr>
        <w:t>)</w:t>
      </w:r>
    </w:p>
    <w:p>
      <w:pPr>
        <w:pStyle w:val="BodyText"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 xml:space="preserve">em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ângulo zenital geométrico, medido a partir da vertical local;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ϕ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latitude geográfica, positiva ao norte;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δ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declinação solar, relativa ao equador celeste;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ω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ângulo horário, nulo no meio-dia solar, negativo pela manhã e positivo à tarde. Os ângulos são apresentados em graus; nas funções trigonométricas do código, são convertidos para radianos.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elevação solar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α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corresponde ao ângulo entre a direção solar e o plano horizontal, de modo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α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sSup>
          <m:e>
            <m:r>
              <w:rPr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sz w:val="24"/>
            <w:szCs w:val="24"/>
          </w:rPr>
          <m:t>−</m:t>
        </m:r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. Nessa formulação,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ω</m:t>
        </m:r>
        <m:r>
          <m:rPr>
            <m:sty m:val="p"/>
          </m:rPr>
          <w:rPr>
            <w:sz w:val="24"/>
            <w:szCs w:val="24"/>
          </w:rPr>
          <m:t>=</m:t>
        </m:r>
        <m:sSup>
          <m:e>
            <m:r>
              <w:rPr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no meio-dia solar e, na aproximação usual de tempo solar verdadeiro, sua taxa é aproximadamente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15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por hora, com valores negativos antes e positivos após o meio-dia solar. A declinação solar varia sazonalmente em função da posição orbital da Terra e da obliquidade do eixo terrestre (DUFFIE; BECKMAN; BLAIR, 2020, p. 13–15).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azimute solar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descreve a direção da projeção horizontal do vetor solar. Neste estudo, adota-se a convenção do norte geográfico como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, sentido horário: leste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, sul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180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e oeste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270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, compatível com a configuração do caso PVDAQ e com Reda e Andreas (2004). Quando o Sol está exatamente no zênite, a direção azimutal é matematicamente indefinida, porque sua projeção horizontal se anula. Portanto, a condição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sSup>
          <m:e>
            <m:r>
              <w:rPr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não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implica azimute igual a zero.</w:t>
      </w:r>
    </w:p>
    <w:p>
      <w:pPr>
        <w:keepNext/>
        <w:widowControl/>
        <w:spacing w:line="360" w:lineRule="auto" w:after="120"/>
        <w:ind w:firstLine="709"/>
      </w:pPr>
      <w:r>
        <w:t>A conversão entre a convenção azimutal de Duffie, Beckman e Blair (2020, p. 13) e a convenção do SPA é dada pela equação (2):</w:t>
      </w:r>
    </w:p>
    <w:p>
      <w:pPr>
        <w:keepNext/>
        <w:keepLines/>
        <w:widowControl/>
        <w:tabs>
          <w:tab w:pos="4535" w:val="center"/>
          <w:tab w:pos="9071" w:val="right"/>
        </w:tabs>
        <w:spacing w:before="160" w:after="160" w:line="276" w:lineRule="auto"/>
        <w:ind w:firstLine="0" w:left="0" w:right="0"/>
        <w:jc w:val="left"/>
      </w:pPr>
      <w:r>
        <w:rPr>
          <w:rFonts w:ascii="Times New Roman" w:hAnsi="Times New Roman"/>
          <w:sz w:val="24"/>
        </w:rPr>
        <w:tab/>
      </w:r>
      <m:oMath>
        <m:sSub>
          <m:e>
            <m:r>
              <w:rPr>
                <w:sz w:val="24"/>
                <w:szCs w:val="24"/>
              </w:rPr>
              <m:t>A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w:rPr>
                    <w:sz w:val="24"/>
                    <w:szCs w:val="24"/>
                  </w:rPr>
                  <m:t>γ</m:t>
                </m:r>
              </m:e>
              <m:sub>
                <m:r>
                  <w:rPr>
                    <w:sz w:val="24"/>
                    <w:szCs w:val="24"/>
                  </w:rPr>
                  <m:t>s</m:t>
                </m: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+</m:t>
            </m:r>
            <m:sSup>
              <m:e>
                <m:r>
                  <w:rPr>
                    <w:sz w:val="24"/>
                    <w:szCs w:val="24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sz w:val="24"/>
                    <w:szCs w:val="24"/>
                  </w:rPr>
                  <m:t>∘</m:t>
                </m:r>
              </m:sup>
            </m:sSup>
          </m:e>
        </m:d>
        <m:r>
          <w:rPr>
            <w:sz w:val="24"/>
            <w:szCs w:val="24"/>
          </w:rPr>
          <m:t> </m:t>
        </m:r>
        <m:r>
          <m:rPr>
            <m:sty m:val="p"/>
          </m:rPr>
          <w:rPr>
            <w:sz w:val="24"/>
            <w:szCs w:val="24"/>
          </w:rPr>
          <m:t>m</m:t>
        </m:r>
        <m:r>
          <m:rPr>
            <m:sty m:val="p"/>
          </m:rPr>
          <w:rPr>
            <w:sz w:val="24"/>
            <w:szCs w:val="24"/>
          </w:rPr>
          <m:t>o</m:t>
        </m:r>
        <m:r>
          <m:rPr>
            <m:sty m:val="p"/>
          </m:rPr>
          <w:rPr>
            <w:sz w:val="24"/>
            <w:szCs w:val="24"/>
          </w:rPr>
          <m:t>d</m:t>
        </m:r>
        <m:r>
          <w:rPr>
            <w:sz w:val="24"/>
            <w:szCs w:val="24"/>
          </w:rPr>
          <m:t> </m:t>
        </m:r>
        <m:sSup>
          <m:e>
            <m:r>
              <w:rPr>
                <w:sz w:val="24"/>
                <w:szCs w:val="24"/>
              </w:rPr>
              <m:t>360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sz w:val="24"/>
            <w:szCs w:val="24"/>
          </w:rPr>
          <m:t>.</m:t>
        </m:r>
      </m:oMath>
      <w:r>
        <w:rPr>
          <w:rFonts w:ascii="Times New Roman" w:hAnsi="Times New Roman"/>
          <w:sz w:val="24"/>
        </w:rPr>
        <w:tab/>
        <w:t>(</w:t>
      </w:r>
      <w:bookmarkStart w:id="702" w:name="Equacao_azimute"/>
      <w:fldSimple w:instr=" SEQ Equacao \* ARABIC ">
        <w:r>
          <w:rPr>
            <w:sz w:val="24"/>
          </w:rPr>
          <w:t>2</w:t>
        </w:r>
      </w:fldSimple>
      <w:bookmarkEnd w:id="702"/>
      <w:r>
        <w:rPr>
          <w:rFonts w:ascii="Times New Roman" w:hAnsi="Times New Roman"/>
          <w:sz w:val="24"/>
        </w:rPr>
        <w:t>)</w:t>
      </w:r>
    </w:p>
    <w:p>
      <w:pPr>
        <w:pStyle w:val="BodyText"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 xml:space="preserve">em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A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azimute solar contado do norte no sentido horário, no intervalo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sz w:val="24"/>
            <w:szCs w:val="24"/>
          </w:rPr>
          <m:t>≤</m:t>
        </m:r>
        <m:sSub>
          <m:e>
            <m:r>
              <w:rPr>
                <w:sz w:val="24"/>
                <w:szCs w:val="24"/>
              </w:rPr>
              <m:t>A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sz w:val="24"/>
            <w:szCs w:val="24"/>
          </w:rPr>
          <m:t>&lt;</m:t>
        </m:r>
        <m:sSup>
          <m:e>
            <m:r>
              <w:rPr>
                <w:sz w:val="24"/>
                <w:szCs w:val="24"/>
              </w:rPr>
              <m:t>360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γ</m:t>
            </m:r>
          </m:e>
          <m:sub>
            <m:r>
              <w:rPr>
                <w:sz w:val="24"/>
                <w:szCs w:val="24"/>
              </w:rPr>
              <m:t>s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azimute contado do sul, negativo a leste e positivo a oeste, conforme a convenção do livro; e o operador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m:rPr>
            <m:sty m:val="p"/>
          </m:rPr>
          <w:rPr>
            <w:sz w:val="24"/>
            <w:szCs w:val="24"/>
          </w:rPr>
          <m:t>m</m:t>
        </m:r>
        <m:r>
          <m:rPr>
            <m:sty m:val="p"/>
          </m:rPr>
          <w:rPr>
            <w:sz w:val="24"/>
            <w:szCs w:val="24"/>
          </w:rPr>
          <m:t>o</m:t>
        </m:r>
        <m:r>
          <m:rPr>
            <m:sty m:val="p"/>
          </m:rPr>
          <w:rPr>
            <w:sz w:val="24"/>
            <w:szCs w:val="24"/>
          </w:rPr>
          <m:t>d</m:t>
        </m:r>
        <m:r>
          <w:rPr>
            <w:sz w:val="24"/>
            <w:szCs w:val="24"/>
          </w:rPr>
          <m:t> </m:t>
        </m:r>
        <m:sSup>
          <m:e>
            <m:r>
              <w:rPr>
                <w:sz w:val="24"/>
                <w:szCs w:val="24"/>
              </w:rPr>
              <m:t>360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reduz o resultado a esse intervalo. Ambos os ângulos são expressos em graus. A relação não define um azimute no zênite.</w:t>
      </w:r>
    </w:p>
    <w:p>
      <w:pPr>
        <w:keepNext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>A Figura 1 reúne o corte vertical e a vista em planta dessas convenções.</w:t>
      </w:r>
    </w:p>
    <w:p>
      <w:pPr>
        <w:keepNext/>
        <w:widowControl/>
        <w:spacing w:line="240" w:lineRule="auto" w:after="80" w:before="160"/>
        <w:ind w:firstLine="0" w:left="709" w:right="709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1 – Geometria solar local e convenção azimutal</w:t>
      </w:r>
    </w:p>
    <w:p>
      <w:pPr>
        <w:pStyle w:val="CaptionedFigure"/>
        <w:keepNext/>
        <w:widowControl/>
        <w:spacing w:line="240" w:lineRule="auto" w:after="0"/>
        <w:ind w:firstLine="0"/>
        <w:jc w:val="center"/>
      </w:pPr>
      <w:r>
        <w:drawing>
          <wp:inline>
            <wp:extent cx="4860000" cy="2577150"/>
            <wp:docPr id="25" name="Picture 25" descr="Figura 1 – Geometria solar local e convenção azimutal" title="Figura 1 – Geometria solar local e convenção azimut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scrito_Figura01_Geometria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ns0:svgBlip xmlns:ns0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keepNext w:val="0"/>
        <w:widowControl/>
        <w:spacing w:line="240" w:lineRule="auto" w:after="160" w:before="60"/>
        <w:ind w:firstLine="0" w:left="709" w:right="7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elaborado pelo autor, com base em Duffie, Beckman e Blair (2020).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equação (1) fornece a relação geométrica fundamental; cálculos de alta precisão precisam de tratamentos adicionais, como efemérides, escala temporal, refração atmosférica e correções de coordenadas. Reda e Andreas (2004, p. 577–578) descrevem o SPA para estimar a posição solar com elevada precisão angular. A incerteza divulgada para o próprio algoritmo não deve ser confundida com a incerteza da irradiância ou a qualidade de um sensor terrestre.</w:t>
      </w:r>
    </w:p>
    <w:bookmarkEnd w:id="24"/>
    <w:bookmarkStart w:id="25" w:name="X87d7fd5ec4192080bad9a4568cd3aeae1bcce0f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1.1.3 IRRADIÂNCIA EXTRATERRESTRE E PROJEÇÃO HORIZONTAL</w:t>
      </w:r>
    </w:p>
    <w:p>
      <w:pPr>
        <w:pStyle w:val="FirstParagraph"/>
        <w:keepNext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irradiância extraterrestre normal, aqui denotada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[W </w:t>
      </w:r>
      <m:oMath>
        <m:sSup>
          <m:e>
            <m:r>
              <w:rPr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w:rPr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], representa o fluxo radiante por unidade de área perpendicular aos raios solares antes da interação atmosférica. Seu valor varia durante o ano devido à mudança da distância Terra–Sol. Essa dependência é representada pela equação (3):</w:t>
      </w:r>
    </w:p>
    <w:p>
      <w:pPr>
        <w:keepNext/>
        <w:keepLines/>
        <w:widowControl/>
        <w:tabs>
          <w:tab w:pos="4535" w:val="center"/>
          <w:tab w:pos="9071" w:val="right"/>
        </w:tabs>
        <w:spacing w:before="160" w:after="160" w:line="276" w:lineRule="auto"/>
        <w:ind w:firstLine="0" w:left="0" w:right="0"/>
        <w:jc w:val="left"/>
      </w:pPr>
      <w:r>
        <w:rPr>
          <w:rFonts w:ascii="Times New Roman" w:hAnsi="Times New Roman"/>
          <w:sz w:val="24"/>
        </w:rPr>
        <w:tab/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sz w:val="24"/>
            <w:szCs w:val="24"/>
          </w:rPr>
          <m:t>=</m:t>
        </m:r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sz w:val="24"/>
                <w:szCs w:val="24"/>
              </w:rPr>
              <m:t>c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sz w:val="24"/>
                        <w:szCs w:val="24"/>
                      </w:rPr>
                      <m:t>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den>
                </m:f>
              </m:e>
            </m:d>
          </m:e>
          <m:sup>
            <m:r>
              <w:rPr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sz w:val="24"/>
            <w:szCs w:val="24"/>
          </w:rPr>
          <m:t>,</m:t>
        </m:r>
      </m:oMath>
      <w:r>
        <w:rPr>
          <w:rFonts w:ascii="Times New Roman" w:hAnsi="Times New Roman"/>
          <w:sz w:val="24"/>
        </w:rPr>
        <w:tab/>
        <w:t>(</w:t>
      </w:r>
      <w:bookmarkStart w:id="703" w:name="Equacao_orbital"/>
      <w:fldSimple w:instr=" SEQ Equacao \* ARABIC ">
        <w:r>
          <w:rPr>
            <w:sz w:val="24"/>
          </w:rPr>
          <w:t>3</w:t>
        </w:r>
      </w:fldSimple>
      <w:bookmarkEnd w:id="703"/>
      <w:r>
        <w:rPr>
          <w:rFonts w:ascii="Times New Roman" w:hAnsi="Times New Roman"/>
          <w:sz w:val="24"/>
        </w:rPr>
        <w:t>)</w:t>
      </w:r>
    </w:p>
    <w:p>
      <w:pPr>
        <w:pStyle w:val="BodyText"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 xml:space="preserve">em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irradiância extraterrestre normal no instante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t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, em W/m²;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sz w:val="24"/>
                <w:szCs w:val="24"/>
              </w:rPr>
              <m:t>c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irradiância de referência na distância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r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, também em W/m²;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r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distância de referência Terra–Sol;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r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distância Terra–Sol no instante considerado. As duas distâncias devem ter a mesma unidade, de modo que sua razão e seu quadrado sejam adimensionais.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relação explicita a lei geométrica do inverso do quadrado, sem substituir o tratamento orbital usado pela implementação computacional. Diferentes referências históricas adotam constantes solares de valores próximos, mas não idênticos; aqui se fixa Gsc = 1366,1 W/m² para reproduzir a implementação do projeto (DUFFIE; BECKMAN; BLAIR, 2020, p. 9; PVLIB CONTRIBUTORS, 2026).</w:t>
      </w:r>
    </w:p>
    <w:p>
      <w:pPr>
        <w:keepNext/>
        <w:widowControl/>
        <w:spacing w:line="360" w:lineRule="auto" w:after="120"/>
        <w:ind w:firstLine="709"/>
      </w:pPr>
      <w:r>
        <w:t xml:space="preserve">O fator orbital da aproximação de Spencer implementada no </w:t>
      </w:r>
      <w:r>
        <w:rPr>
          <w:i w:val="1"/>
          <w:iCs w:val="1"/>
        </w:rPr>
        <w:t xml:space="preserve">pvlib</w:t>
      </w:r>
      <w:r>
        <w:t xml:space="preserve"> 0.16.1 é expresso pela equação (4) (PVLIB CONTRIBUTORS, 2026):</w:t>
      </w:r>
    </w:p>
    <w:p>
      <w:pPr>
        <w:keepNext/>
        <w:keepLines/>
        <w:widowControl/>
        <w:tabs>
          <w:tab w:pos="4535" w:val="center"/>
          <w:tab w:pos="9071" w:val="right"/>
        </w:tabs>
        <w:spacing w:before="160" w:after="160" w:line="276" w:lineRule="auto"/>
        <w:ind w:firstLine="0" w:left="0" w:right="0"/>
        <w:jc w:val="left"/>
      </w:pPr>
      <w:r>
        <w:rPr>
          <w:rFonts w:ascii="Times New Roman" w:hAnsi="Times New Roman"/>
          <w:sz w:val="24"/>
        </w:rPr>
        <w:tab/>
      </w:r>
      <m:oMath>
        <m:eqArr>
          <m:e>
            <m:sSub>
              <m:e>
                <m:r>
                  <w:rPr>
                    <w:sz w:val="24"/>
                    <w:szCs w:val="24"/>
                  </w:rPr>
                  <m:t>E</m:t>
                </m:r>
              </m:e>
              <m:sub>
                <m:r>
                  <w:rPr>
                    <w:sz w:val="24"/>
                    <w:szCs w:val="24"/>
                  </w:rPr>
                  <m:t>0</m:t>
                </m: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</m:t>
            </m:r>
            <m:r>
              <w:rPr>
                <w:sz w:val="24"/>
                <w:szCs w:val="24"/>
              </w:rPr>
              <m:t/>
            </m:r>
            <m:r>
              <w:rPr>
                <w:sz w:val="24"/>
                <w:szCs w:val="24"/>
              </w:rPr>
              <m:t>1.000110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w:rPr>
                <w:sz w:val="24"/>
                <w:szCs w:val="24"/>
              </w:rPr>
              <m:t>0.034221</m:t>
            </m:r>
            <m:r>
              <m:rPr>
                <m:sty m:val="p"/>
              </m:rPr>
              <w:rPr>
                <w:sz w:val="24"/>
                <w:szCs w:val="24"/>
              </w:rPr>
              <m:t>cos</m:t>
            </m:r>
            <m:r>
              <w:rPr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w:rPr>
                <w:sz w:val="24"/>
                <w:szCs w:val="24"/>
              </w:rPr>
              <m:t>0.001280</m:t>
            </m:r>
            <m:r>
              <m:rPr>
                <m:sty m:val="p"/>
              </m:rPr>
              <w:rPr>
                <w:sz w:val="24"/>
                <w:szCs w:val="24"/>
              </w:rPr>
              <m:t>sin</m:t>
            </m:r>
            <m:r>
              <w:rPr>
                <w:sz w:val="24"/>
                <w:szCs w:val="24"/>
              </w:rPr>
              <m:t>B</m:t>
            </m:r>
          </m:e>
          <m:e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w:rPr>
                <w:sz w:val="24"/>
                <w:szCs w:val="24"/>
              </w:rPr>
              <m:t>0.000719</m:t>
            </m:r>
            <m:r>
              <m:rPr>
                <m:sty m:val="p"/>
              </m:rPr>
              <w:rPr>
                <w:sz w:val="24"/>
                <w:szCs w:val="24"/>
              </w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sz w:val="24"/>
                    <w:szCs w:val="24"/>
                  </w:rPr>
                  <m:t>2</m:t>
                </m:r>
                <m:r>
                  <w:rPr>
                    <w:sz w:val="24"/>
                    <w:szCs w:val="24"/>
                  </w:rPr>
                  <m:t>B</m:t>
                </m:r>
              </m:e>
            </m:d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w:rPr>
                <w:sz w:val="24"/>
                <w:szCs w:val="24"/>
              </w:rPr>
              <m:t>0.000077</m:t>
            </m:r>
            <m:r>
              <m:rPr>
                <m:sty m:val="p"/>
              </m:rPr>
              <w:rPr>
                <w:sz w:val="24"/>
                <w:szCs w:val="24"/>
              </w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sz w:val="24"/>
                    <w:szCs w:val="24"/>
                  </w:rPr>
                  <m:t>2</m:t>
                </m:r>
                <m:r>
                  <w:rPr>
                    <w:sz w:val="24"/>
                    <w:szCs w:val="24"/>
                  </w:rPr>
                  <m:t>B</m:t>
                </m:r>
              </m:e>
            </m:d>
            <m:r>
              <m:rPr>
                <m:sty m:val="p"/>
              </m:rPr>
              <w:rPr>
                <w:sz w:val="24"/>
                <w:szCs w:val="24"/>
              </w:rPr>
              <m:t>.</m:t>
            </m:r>
          </m:e>
        </m:eqArr>
      </m:oMath>
      <w:r>
        <w:rPr>
          <w:rFonts w:ascii="Times New Roman" w:hAnsi="Times New Roman"/>
          <w:sz w:val="24"/>
        </w:rPr>
        <w:tab/>
        <w:t>(</w:t>
      </w:r>
      <w:bookmarkStart w:id="704" w:name="Equacao_spencer"/>
      <w:fldSimple w:instr=" SEQ Equacao \* ARABIC ">
        <w:r>
          <w:rPr>
            <w:sz w:val="24"/>
          </w:rPr>
          <w:t>4</w:t>
        </w:r>
      </w:fldSimple>
      <w:bookmarkEnd w:id="704"/>
      <w:r>
        <w:rPr>
          <w:rFonts w:ascii="Times New Roman" w:hAnsi="Times New Roman"/>
          <w:sz w:val="24"/>
        </w:rPr>
        <w:t>)</w:t>
      </w:r>
    </w:p>
    <w:p>
      <w:pPr>
        <w:pStyle w:val="BodyText"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 xml:space="preserve">em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E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fator orbital adimensional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B</m:t>
        </m:r>
        <m:r>
          <m:rPr>
            <m:sty m:val="p"/>
          </m:rPr>
          <w:rPr>
            <w:sz w:val="24"/>
            <w:szCs w:val="24"/>
          </w:rPr>
          <m:t>=</m:t>
        </m:r>
        <m:r>
          <w:rPr>
            <w:sz w:val="24"/>
            <w:szCs w:val="24"/>
          </w:rPr>
          <m:t>2</m:t>
        </m:r>
        <m:r>
          <w:rPr>
            <w:sz w:val="24"/>
            <w:szCs w:val="24"/>
          </w:rPr>
          <m:t>π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w:rPr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sz w:val="24"/>
            <w:szCs w:val="24"/>
          </w:rPr>
          <m:t>/</m:t>
        </m:r>
        <m:r>
          <w:rPr>
            <w:sz w:val="24"/>
            <w:szCs w:val="24"/>
          </w:rPr>
          <m:t>365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argumento angular em radianos, sendo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n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o número do dia no ano. Os coeficientes numéricos são adimensionais. A irradiância normal é calculada por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sz w:val="24"/>
                <w:szCs w:val="24"/>
              </w:rPr>
              <m:t>c</m:t>
            </m:r>
          </m:sub>
        </m:sSub>
        <m:sSub>
          <m:e>
            <m:r>
              <w:rPr>
                <w:sz w:val="24"/>
                <w:szCs w:val="24"/>
              </w:rPr>
              <m:t>E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, com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w:rPr>
            <w:sz w:val="24"/>
            <w:szCs w:val="24"/>
          </w:rPr>
          <m:t>1366</m:t>
        </m:r>
        <m:r>
          <m:rPr>
            <m:sty m:val="p"/>
          </m:rPr>
          <w:rPr>
            <w:sz w:val="24"/>
            <w:szCs w:val="24"/>
          </w:rPr>
          <m:t>,</m:t>
        </m:r>
        <m:r>
          <w:rPr>
            <w:sz w:val="24"/>
            <w:szCs w:val="24"/>
          </w:rPr>
          <m:t>1</m:t>
        </m:r>
        <m:r>
          <w:rPr>
            <w:sz w:val="24"/>
            <w:szCs w:val="24"/>
          </w:rPr>
          <m:t> </m:t>
        </m:r>
        <m:r>
          <m:rPr>
            <m:sty m:val="p"/>
          </m:rPr>
          <w:rPr>
            <w:sz w:val="24"/>
            <w:szCs w:val="24"/>
          </w:rPr>
          <m:t>W</m:t>
        </m:r>
        <m:r>
          <m:rPr>
            <m:sty m:val="p"/>
          </m:rPr>
          <w:rPr>
            <w:sz w:val="24"/>
            <w:szCs w:val="24"/>
          </w:rPr>
          <m:t>/</m:t>
        </m:r>
        <m:sSup>
          <m:e>
            <m:r>
              <m:rPr>
                <m:sty m:val="p"/>
              </m:rPr>
              <w:rPr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. O denominador 365 é mantido em 2024 para reproduzir a implementação conferida do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pvlib</w:t>
      </w:r>
      <w:r>
        <w:rPr>
          <w:rFonts w:ascii="Times New Roman" w:hAnsi="Times New Roman"/>
          <w:i w:val="0"/>
          <w:color w:val="000000"/>
          <w:sz w:val="24"/>
        </w:rPr>
        <w:t xml:space="preserve">.</w:t>
      </w:r>
    </w:p>
    <w:p>
      <w:pPr>
        <w:pStyle w:val="BodyText"/>
        <w:keepNext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projeção da irradiância normal sobre um plano horizontal produz a irradiância extraterrestre horizontal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h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[W </w:t>
      </w:r>
      <m:oMath>
        <m:sSup>
          <m:e>
            <m:r>
              <w:rPr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w:rPr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] na equação (5):</w:t>
      </w:r>
    </w:p>
    <w:p>
      <w:pPr>
        <w:keepNext/>
        <w:keepLines/>
        <w:widowControl/>
        <w:tabs>
          <w:tab w:pos="4535" w:val="center"/>
          <w:tab w:pos="9071" w:val="right"/>
        </w:tabs>
        <w:spacing w:before="160" w:after="160" w:line="276" w:lineRule="auto"/>
        <w:ind w:firstLine="0" w:left="0" w:right="0"/>
        <w:jc w:val="left"/>
      </w:pPr>
      <w:r>
        <w:rPr>
          <w:rFonts w:ascii="Times New Roman" w:hAnsi="Times New Roman"/>
          <w:sz w:val="24"/>
        </w:rPr>
        <w:tab/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sz w:val="24"/>
            <w:szCs w:val="24"/>
          </w:rPr>
          <m:t>max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sz w:val="24"/>
                <w:szCs w:val="24"/>
              </w:rPr>
              <m:t>cos</m:t>
            </m:r>
            <m:sSub>
              <m:e>
                <m:r>
                  <w:rPr>
                    <w:sz w:val="24"/>
                    <w:szCs w:val="24"/>
                  </w:rPr>
                  <m:t>θ</m:t>
                </m:r>
              </m:e>
              <m:sub>
                <m:r>
                  <w:rPr>
                    <w:sz w:val="24"/>
                    <w:szCs w:val="24"/>
                  </w:rPr>
                  <m:t>z</m:t>
                </m:r>
              </m:sub>
            </m:sSub>
          </m:e>
        </m:d>
        <m:r>
          <m:rPr>
            <m:sty m:val="p"/>
          </m:rPr>
          <w:rPr>
            <w:sz w:val="24"/>
            <w:szCs w:val="24"/>
          </w:rPr>
          <m:t>.</m:t>
        </m:r>
      </m:oMath>
      <w:r>
        <w:rPr>
          <w:rFonts w:ascii="Times New Roman" w:hAnsi="Times New Roman"/>
          <w:sz w:val="24"/>
        </w:rPr>
        <w:tab/>
        <w:t>(</w:t>
      </w:r>
      <w:bookmarkStart w:id="705" w:name="Equacao_projecao"/>
      <w:fldSimple w:instr=" SEQ Equacao \* ARABIC ">
        <w:r>
          <w:rPr>
            <w:sz w:val="24"/>
          </w:rPr>
          <w:t>5</w:t>
        </w:r>
      </w:fldSimple>
      <w:bookmarkEnd w:id="705"/>
      <w:r>
        <w:rPr>
          <w:rFonts w:ascii="Times New Roman" w:hAnsi="Times New Roman"/>
          <w:sz w:val="24"/>
        </w:rPr>
        <w:t>)</w:t>
      </w:r>
    </w:p>
    <w:p>
      <w:pPr>
        <w:pStyle w:val="BodyText"/>
        <w:widowControl/>
        <w:spacing w:line="360" w:lineRule="auto" w:after="120"/>
        <w:ind w:firstLine="709"/>
        <w:jc w:val="both"/>
      </w:pPr>
      <w:r>
        <w:rPr>
          <w:rFonts w:ascii="Times New Roman" w:hAnsi="Times New Roman"/>
          <w:i w:val="0"/>
          <w:color w:val="000000"/>
          <w:sz w:val="24"/>
        </w:rPr>
        <w:t xml:space="preserve">em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h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irradiância extraterrestre projetada na horizontal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a irradiância extraterrestre normal, ambas em W/m²;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é o ângulo zenital geométrico;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m:rPr>
            <m:sty m:val="p"/>
          </m:rPr>
          <w:rPr>
            <w:sz w:val="24"/>
            <w:szCs w:val="24"/>
          </w:rPr>
          <m:t>max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sz w:val="24"/>
                <w:szCs w:val="24"/>
              </w:rPr>
              <m:t>cos</m:t>
            </m:r>
            <m:sSub>
              <m:e>
                <m:r>
                  <w:rPr>
                    <w:sz w:val="24"/>
                    <w:szCs w:val="24"/>
                  </w:rPr>
                  <m:t>θ</m:t>
                </m:r>
              </m:e>
              <m:sub>
                <m:r>
                  <w:rPr>
                    <w:sz w:val="24"/>
                    <w:szCs w:val="24"/>
                  </w:rPr>
                  <m:t>z</m:t>
                </m:r>
              </m:sub>
            </m:sSub>
          </m:e>
        </m:d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seleciona o maior entre zero e o cosseno do zenital. Esse fator é adimensional e anula a projeção quando o centro do Sol está abaixo do horizonte geométrico.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Durante o dia, a equação se reduz 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sz w:val="24"/>
            <w:szCs w:val="24"/>
          </w:rPr>
          <m:t>=</m:t>
        </m:r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sz w:val="24"/>
            <w:szCs w:val="24"/>
          </w:rPr>
          <m:t>cos</m:t>
        </m:r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. A dependência em cosseno é puramente geométrica: para o mesmo fluxo normal extraterrestre, a projeção na horizontal diminui à medida que o ângulo zenital aumenta. Isso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não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significa que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b>
          <m:e>
            <m:r>
              <w:rPr>
                <w:sz w:val="24"/>
                <w:szCs w:val="24"/>
              </w:rPr>
              <m:t>G</m:t>
            </m:r>
          </m:e>
          <m:sub>
            <m:r>
              <w:rPr>
                <w:sz w:val="24"/>
                <w:szCs w:val="24"/>
              </w:rPr>
              <m:t>0</m:t>
            </m:r>
            <m:r>
              <w:rPr>
                <w:sz w:val="24"/>
                <w:szCs w:val="24"/>
              </w:rPr>
              <m:t>h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seja a GHI observada, pois esta última sofre os efeitos de absorção, espalhamento, nuvens, aerossóis e das demais condições atmosféricas.</w:t>
      </w:r>
    </w:p>
    <w:p>
      <w:pPr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>A projeção extraterrestre usa o horizonte geométrico e é anulada quando o centro solar fica abaixo dele. O critério aproximado de 90,833° utilizado pela NOAA para nascer e pôr do Sol inclui refração atmosférica e tamanho angular do disco solar; responde a outra definição de evento e não deve ser aplicado como substituição automática desse recorte (NOAA GLOBAL MONITORING LABORATORY, [s. d.], p. 2).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Uma consequência importante é a impossibilidade de inferir a irradiância real de superfície apenas com posição solar e uma irradiância extraterrestre calculada. A decomposição entre a contribuição direta projetada e a radiação difusa no plano horizontal exige grandezas e hipóteses adicionais que pertencem à subseção 1.2.</w:t>
      </w:r>
    </w:p>
    <w:bookmarkEnd w:id="25"/>
    <w:bookmarkStart w:id="26" w:name="massa-de-ar-e-caminho-óptico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1.1.4 MASSA DE AR E CAMINHO ÓPTICO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massa de ar relativa (</w:t>
      </w:r>
      <m:oMath>
        <m:r>
          <w:rPr>
            <w:sz w:val="24"/>
            <w:szCs w:val="24"/>
          </w:rPr>
          <m:t>A</m:t>
        </m:r>
        <m:r>
          <w:rPr>
            <w:sz w:val="24"/>
            <w:szCs w:val="24"/>
          </w:rPr>
          <m:t>M</m:t>
        </m:r>
      </m:oMath>
      <w:r>
        <w:rPr>
          <w:rFonts w:ascii="Times New Roman" w:hAnsi="Times New Roman"/>
          <w:i w:val="0"/>
          <w:color w:val="000000"/>
          <w:sz w:val="24"/>
        </w:rPr>
        <w:t xml:space="preserve">) é um indicador do caminho óptico atravessado pela radiação direta em relação a uma direção vertical de referência. Em atmosfera plana e para ângulos zenitais moderados, uma aproximação geométrica é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A</m:t>
        </m:r>
        <m:r>
          <w:rPr>
            <w:sz w:val="24"/>
            <w:szCs w:val="24"/>
          </w:rPr>
          <m:t>M</m:t>
        </m:r>
        <m:r>
          <m:rPr>
            <m:sty m:val="p"/>
          </m:rPr>
          <w:rPr>
            <w:sz w:val="24"/>
            <w:szCs w:val="24"/>
          </w:rPr>
          <m:t>≈</m:t>
        </m:r>
        <m:r>
          <w:rPr>
            <w:sz w:val="24"/>
            <w:szCs w:val="24"/>
          </w:rPr>
          <m:t>1</m:t>
        </m:r>
        <m:r>
          <m:rPr>
            <m:sty m:val="p"/>
          </m:rPr>
          <w:rPr>
            <w:sz w:val="24"/>
            <w:szCs w:val="24"/>
          </w:rPr>
          <m:t>/</m:t>
        </m:r>
        <m:r>
          <m:rPr>
            <m:sty m:val="p"/>
          </m:rPr>
          <w:rPr>
            <w:sz w:val="24"/>
            <w:szCs w:val="24"/>
          </w:rPr>
          <m:t>cos</m:t>
        </m:r>
        <m:sSub>
          <m:e>
            <m:r>
              <w:rPr>
                <w:sz w:val="24"/>
                <w:szCs w:val="24"/>
              </w:rPr>
              <m:t>θ</m:t>
            </m:r>
          </m:e>
          <m:sub>
            <m:r>
              <w:rPr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/>
          <w:i w:val="0"/>
          <w:color w:val="000000"/>
          <w:sz w:val="24"/>
        </w:rPr>
        <w:t xml:space="preserve">. Sua interpretação física é útil: próximo ao horizonte, o trajeto atmosférico é, em geral, mais extenso, o que amplia as oportunidades de absorção e espalhamento. Entretanto, a aproximação secante perde validade para grandes ângulos zenitais. Para aplicações quantitativas, deve-se empregar uma parametrização de massa de ar apropriada, distinguindo a massa de ar relativa da absoluta e informando eventuais correções de pressão (DUFFIE; BECKMAN; BLAIR, 2020, p. 9–10; 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2, p. 6–8).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>A aproximação secante é utilizada como interpretação geométrica de atmosfera plana ao nível do mar, para zenitais aproximadamente até 70°, no tratamento de Duffie, Beckman e Blair (2020, p. 9–10). Não deve ser extrapolada ao horizonte. A massa de ar relativa e sua correção de pressão para massa de ar absoluta precisam ser distinguidas em aplicações quantitativas.</w:t>
      </w:r>
    </w:p>
    <w:bookmarkEnd w:id="26"/>
    <w:bookmarkStart w:id="30" w:name="articulação-com-o-caso-real-pvdaq-2107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1.1.5 ARTICULAÇÃO COM O CASO REAL PVDAQ 2107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 estudo coletivo adota o sistema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1"/>
          <w:color w:val="000000"/>
          <w:sz w:val="24"/>
          <w:iCs w:val="1"/>
        </w:rPr>
        <w:t xml:space="preserve">Farm Solar Array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 — PVDAQ 2107</w:t>
      </w:r>
      <w:r>
        <w:rPr>
          <w:rFonts w:ascii="Times New Roman" w:hAnsi="Times New Roman"/>
          <w:i w:val="0"/>
          <w:color w:val="000000"/>
          <w:sz w:val="24"/>
        </w:rPr>
        <w:t xml:space="preserve">, localizado em Arbuckle, Califórnia, nas coordenadas aproximadamente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38</m:t>
        </m:r>
        <m:r>
          <m:rPr>
            <m:sty m:val="p"/>
          </m:rPr>
          <w:rPr>
            <w:sz w:val="24"/>
            <w:szCs w:val="24"/>
          </w:rPr>
          <m:t>,</m:t>
        </m:r>
        <m:sSup>
          <m:e>
            <m:r>
              <w:rPr>
                <w:sz w:val="24"/>
                <w:szCs w:val="24"/>
              </w:rPr>
              <m:t>996306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N 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r>
          <w:rPr>
            <w:sz w:val="24"/>
            <w:szCs w:val="24"/>
          </w:rPr>
          <m:t>122</m:t>
        </m:r>
        <m:r>
          <m:rPr>
            <m:sty m:val="p"/>
          </m:rPr>
          <w:rPr>
            <w:sz w:val="24"/>
            <w:szCs w:val="24"/>
          </w:rPr>
          <m:t>,</m:t>
        </m:r>
        <m:sSup>
          <m:e>
            <m:r>
              <w:rPr>
                <w:sz w:val="24"/>
                <w:szCs w:val="24"/>
              </w:rPr>
              <m:t>134111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O. A janela analisada é de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1º de abril a 30 de junho de 2024</w:t>
      </w:r>
      <w:r>
        <w:rPr>
          <w:rFonts w:ascii="Times New Roman" w:hAnsi="Times New Roman"/>
          <w:i w:val="0"/>
          <w:color w:val="000000"/>
          <w:sz w:val="24"/>
        </w:rPr>
        <w:t xml:space="preserve">, com 91 dias, no fuso local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iCs/>
          <w:color w:val="000000"/>
          <w:sz w:val="24"/>
        </w:rPr>
        <w:t xml:space="preserve">America/Los_Angeles</w:t>
      </w:r>
      <w:r>
        <w:rPr>
          <w:rFonts w:ascii="Times New Roman" w:hAnsi="Times New Roman"/>
          <w:i w:val="0"/>
          <w:color w:val="000000"/>
          <w:sz w:val="24"/>
        </w:rPr>
        <w:t xml:space="preserve">. A configuração do projeto registra a posição do Sol pelo SPA, aplicada ao meio do intervalo temporal correspondente, e utiliza a irradiância medida no plano do arranjo (</w:t>
      </w:r>
      <w:r>
        <w:rPr>
          <w:rFonts w:ascii="Times New Roman" w:hAnsi="Times New Roman"/>
          <w:i w:val="1"/>
          <w:iCs w:val="1"/>
          <w:color w:val="000000"/>
          <w:sz w:val="24"/>
        </w:rPr>
        <w:t xml:space="preserve">plane of array</w:t>
      </w:r>
      <w:r>
        <w:rPr>
          <w:rFonts w:ascii="Times New Roman" w:hAnsi="Times New Roman"/>
          <w:i w:val="0"/>
          <w:color w:val="000000"/>
          <w:sz w:val="24"/>
        </w:rPr>
        <w:t xml:space="preserve">, POA). As curvas de geometria e irradiância abaixo ilustram o dia 17 de maio de 2024 no horário local, conforme a Figura 2.</w:t>
      </w:r>
    </w:p>
    <w:p>
      <w:pPr>
        <w:keepNext/>
        <w:widowControl/>
        <w:spacing w:line="240" w:lineRule="auto" w:after="80" w:before="160"/>
        <w:ind w:firstLine="0" w:left="709" w:right="709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Figura 2 – POA observada e ângulos solares no PVDAQ 2107</w:t>
      </w:r>
    </w:p>
    <w:p>
      <w:pPr>
        <w:pStyle w:val="CaptionedFigure"/>
        <w:keepNext/>
        <w:widowControl/>
        <w:spacing w:line="240" w:lineRule="auto" w:after="0"/>
        <w:ind w:firstLine="0"/>
        <w:jc w:val="center"/>
      </w:pPr>
      <w:r>
        <w:drawing>
          <wp:inline>
            <wp:extent cx="4860000" cy="2720250"/>
            <wp:docPr id="26" name="Picture 26" descr="Figura 2 – POA observada e ângulos solares no PVDAQ 2107" title="Figura 2 – POA observada e ângulos solares no PVDAQ 2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scrito_Figura02_PVDAQ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ns0:svgBlip xmlns:ns0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2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keepNext w:val="0"/>
        <w:widowControl/>
        <w:spacing w:line="240" w:lineRule="auto" w:after="160" w:before="60"/>
        <w:ind w:firstLine="0" w:left="709" w:right="7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dados PVDAQ 2107 (Deline </w:t>
      </w:r>
      <w:r>
        <w:rPr>
          <w:rFonts w:ascii="Times New Roman" w:hAnsi="Times New Roman"/>
          <w:b w:val="0"/>
          <w:i w:val="1"/>
          <w:color w:val="000000"/>
          <w:sz w:val="20"/>
          <w:iCs w:val="1"/>
        </w:rPr>
        <w:t xml:space="preserve">et al.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2021); elaboração do autor (2026).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 gráfico reúne naturezas distintas de informação. A POA provém da medição local agregada, enquanto zenital e incidência são calculados. Os dados integram o acervo PVDAQ (DELINE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2021); o processamento e a seleção são documentados no projeto (TEIXEIRA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2026). Para 17/05, há 96 posições temporais, 94 médias POA não ausentes e 68 intervalos com três amostras na agregação. A figura exibe 05 h a 21 h locais, sem interpolação. A proximidade temporal entre o máximo de POA e a maior altura solar não constitui validação independente do SPA, nem permite identificar isoladamente condições de nuvens, aerossóis ou vapor de água. Trata-se de um exemplo diário, e não de uma distribuição climatológica.</w:t>
      </w:r>
      <w:r>
        <w:t xml:space="preserve"> Na Figura 2, o zenital é geométrico e a incidência utiliza o zenital aparente, conforme a cadeia computacional vigente.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 sistema PVDAQ disponibiliza irradiância POA, mas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color w:val="000000"/>
          <w:sz w:val="24"/>
        </w:rPr>
        <w:t xml:space="preserve">não disponibiliza, neste conjunto selecionado, séries locais medidas e independentes de GHI, DNI e DHI</w:t>
      </w:r>
      <w:r>
        <w:rPr>
          <w:rFonts w:ascii="Times New Roman" w:hAnsi="Times New Roman"/>
          <w:i w:val="0"/>
          <w:color w:val="000000"/>
          <w:sz w:val="24"/>
        </w:rPr>
        <w:t xml:space="preserve">. Essas componentes não devem ser apresentadas como medições observadas; eventuais reconstruções por transposição inversa constituem análises exploratórias, discutidas separadamente. A orientação fixa do arranjo é de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25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de inclinação e azimute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180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</w:rPr>
        <w:t xml:space="preserve">(norte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m:oMath>
        <m:sSup>
          <m:e>
            <m:r>
              <w:rPr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sz w:val="24"/>
                <w:szCs w:val="24"/>
              </w:rPr>
              <m:t>∘</m:t>
            </m:r>
          </m:sup>
        </m:sSup>
      </m:oMath>
      <w:r>
        <w:rPr>
          <w:rFonts w:ascii="Times New Roman" w:hAnsi="Times New Roman"/>
          <w:i w:val="0"/>
          <w:color w:val="000000"/>
          <w:sz w:val="24"/>
        </w:rPr>
        <w:t xml:space="preserve">, sentido horário), mas o detalhamento da montagem e a transposição para a POA pertencem às seções 2.4 e 3.1, respectivamente.</w:t>
      </w:r>
    </w:p>
    <w:bookmarkEnd w:id="30"/>
    <w:bookmarkStart w:id="32" w:name="síntese-e-limites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1.1.6 SÍNTESE E LIMITES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posição solar define a direção de incidência da componente direta e fornece o fator geométrico de projeção entre irradiância normal e horizontal. A irradiância extraterrestre estabelece uma referência física anterior à atenuação atmosférica. A passagem da geometria para o recurso disponível em superfície exige, entretanto, informação radiométrica adicional e descrição explícita de suas condições de observação. Assim, a subseção 1.1 estabelece os ângulos, o tempo e o referencial geométrico que serão empregados em 1.2 a 1.4 e compartilhados com o estudo fotovoltaico da equipe.</w:t>
      </w:r>
    </w:p>
    <w:bookmarkStart w:id="31" w:name="quadro-de-conceitos-e-convenções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1.1.7 RASTREABILIDADE DO PROCEDIMENTO COMPUTACIONAL</w:t>
      </w:r>
    </w:p>
    <w:p>
      <w:pPr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Os ângulos são calculados pelo SPA de Reda e Andreas (2004; 2008), enquanto a irradiância extraterrestre normal é calculada separadamente pelo método Spencer. A rotina utiliza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pvlib</w:t>
      </w:r>
      <w:r>
        <w:rPr>
          <w:rFonts w:ascii="Times New Roman" w:hAnsi="Times New Roman"/>
          <w:i w:val="0"/>
          <w:color w:val="000000"/>
          <w:sz w:val="24"/>
        </w:rPr>
        <w:t xml:space="preserve"> 0.16.1. O exemplo publicado do SPA foi reproduzido com os parâmetros da Tabela A5.1 (REDA; ANDREAS, 2008, p. A-15–A-16), obtendo zenital aparente de 50,111622° e azimute de 194,340241°, compatíveis com os valores de referência arredondados. Essa conferência verifica a implementação numérica; não valida o sensor POA nem a precisão de todas as entradas do estudo de caso.</w:t>
      </w:r>
    </w:p>
    <w:p>
      <w:pPr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>O caso PVDAQ 2107 utiliza 38,996306° N, 122,134111° O e altitude de 10 m na configuração do projeto. A janela compreende 01/04 a 30/06/2024, no fuso America/Los_Angeles. O rótulo temporal indica o início de intervalos de 15 minutos; o SPA é avaliado 7 min 30 s depois. Em 17/05/2024, o fuso corresponde a UTC−7. A pressão é estimada da altitude, enquanto temperatura de refração de 12 °C e diferença de escalas temporais ΔT = 67 s são padrões mantidos da implementação, sem tratá-los como medições locais ou como atualização específica de efemérides.</w:t>
      </w:r>
    </w:p>
    <w:p>
      <w:pPr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conferência bibliográfica foi localizada por páginas, com distinção entre obras catalogadas e evidências efetivamente verificadas. O livro de Duffie, Beckman e Blair (2020, p. 9) apresenta 0,00719 no termo em cos(2B) de sua equação 1.4.1b. O código conferido do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pvlib</w:t>
      </w:r>
      <w:r>
        <w:rPr>
          <w:rFonts w:ascii="Times New Roman" w:hAnsi="Times New Roman"/>
          <w:i w:val="0"/>
          <w:color w:val="000000"/>
          <w:sz w:val="24"/>
        </w:rPr>
        <w:t xml:space="preserve"> 0.16.1 utiliza 0,000719. Para reproduzir os cálculos do projeto, adota-se este último coeficiente, mantendo registrada a divergência entre as fontes; a comparação não constitui uma investigação de erratas do editor.</w:t>
      </w:r>
      <w:r>
        <w:t xml:space="preserve"> O Quadro 1 sintetiza essas grandezas e convenções.</w:t>
      </w:r>
    </w:p>
    <w:p>
      <w:pPr>
        <w:keepNext/>
        <w:widowControl/>
        <w:spacing w:line="240" w:lineRule="auto" w:after="80" w:before="160"/>
        <w:ind w:firstLine="0" w:left="227" w:right="227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Quadro 1 – Símbolos, grandezas e convenções adotadas</w:t>
      </w:r>
    </w:p>
    <w:tbl>
      <w:tblPr>
        <w:tblStyle w:val="Table"/>
        <w:tblW w:type="dxa" w:w="8617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191"/>
        <w:gridCol w:w="4535"/>
        <w:gridCol w:w="2891"/>
      </w:tblGrid>
      <w:tr>
        <w:trPr>
          <w:tblHeader w:val="on"/>
          <w:cantSplit/>
          <w:tblHeader/>
        </w:trPr>
        <w:tc>
          <w:tcPr>
            <w:tcW w:type="dxa" w:w="1191"/>
            <w:shd w:fill="F0F0F0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Símbolo</w:t>
            </w:r>
          </w:p>
        </w:tc>
        <w:tc>
          <w:tcPr>
            <w:tcW w:type="dxa" w:w="4535"/>
            <w:shd w:fill="F0F0F0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Grandeza</w:t>
            </w:r>
          </w:p>
        </w:tc>
        <w:tc>
          <w:tcPr>
            <w:tcW w:type="dxa" w:w="2891"/>
            <w:shd w:fill="F0F0F0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Unidade / convenção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r>
                <w:rPr>
                  <w:sz w:val="24"/>
                  <w:szCs w:val="24"/>
                </w:rPr>
                <m:t>ϕ</m:t>
              </m:r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Latitude geográfica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graus; norte positivo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r>
                <w:rPr>
                  <w:sz w:val="24"/>
                  <w:szCs w:val="24"/>
                </w:rPr>
                <m:t>δ</m:t>
              </m:r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Declinação solar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graus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r>
                <w:rPr>
                  <w:sz w:val="24"/>
                  <w:szCs w:val="24"/>
                </w:rPr>
                <m:t>ω</m:t>
              </m:r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Ângulo horário solar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graus; 0° ao meio-dia solar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sz w:val="24"/>
                      <w:szCs w:val="24"/>
                    </w:rPr>
                    <m:t>z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Ângulo zenital solar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graus; 0° no zênite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sz w:val="24"/>
                      <w:szCs w:val="24"/>
                    </w:rPr>
                    <m:t>s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Elevação solar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graus;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e>
                  <m:r>
                    <w:rPr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sz w:val="24"/>
                      <w:szCs w:val="24"/>
                    </w:rPr>
                    <m:t>z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sz w:val="24"/>
                      <w:szCs w:val="24"/>
                    </w:rPr>
                    <m:t>0</m:t>
                  </m:r>
                  <m:r>
                    <w:rPr>
                      <w:sz w:val="24"/>
                      <w:szCs w:val="24"/>
                    </w:rPr>
                    <m:t>n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Irradiância extraterrestre normal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W/m²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sz w:val="24"/>
                      <w:szCs w:val="24"/>
                    </w:rPr>
                    <m:t>0</m:t>
                  </m:r>
                  <m:r>
                    <w:rPr>
                      <w:sz w:val="24"/>
                      <w:szCs w:val="24"/>
                    </w:rPr>
                    <m:t>h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Irradiância extraterrestre horizontal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W/m²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POA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Irradiância no plano dos módulos</w:t>
            </w:r>
          </w:p>
        </w:tc>
        <w:tc>
          <w:tcPr>
            <w:tcW w:type="dxa" w:w="2891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pStyle w:val="Compact"/>
              <w:keepNext/>
              <w:widowControl/>
              <w:spacing w:line="240" w:lineRule="auto" w:after="0" w:before="0" w:beforeAutospacing="0" w:afterAutospacing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W/m²; observada no PVDAQ</w:t>
            </w:r>
          </w:p>
        </w:tc>
      </w:tr>
    </w:tbl>
    <w:p>
      <w:pPr>
        <w:pStyle w:val="FirstParagraph"/>
        <w:keepNext w:val="0"/>
        <w:widowControl/>
        <w:spacing w:line="240" w:lineRule="auto" w:after="160" w:before="60"/>
        <w:ind w:firstLine="0" w:left="227" w:right="2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elaborado pelo autor, com base em Duffie, Beckman e Blair (2020).</w:t>
      </w:r>
    </w:p>
    <w:bookmarkEnd w:id="31"/>
    <w:bookmarkEnd w:id="32"/>
    <w:bookmarkStart w:id="33" w:name="referências-utilizadas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CRITÉRIOS DE VALIDADE E TRANSIÇÃO PARA 1.2</w:t>
      </w:r>
    </w:p>
    <w:p>
      <w:pPr>
        <w:widowControl/>
        <w:spacing w:line="360" w:lineRule="auto" w:after="120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A irradiância extraterrestre horizontal G₀h [W m⁻²] é calculada pela projeção da irradiância normal G₀n [W m⁻²] no plano horizontal, para o Sol acima do horizonte. GHI [W m⁻²] é outra grandeza: a irradiância global horizontal na superfície, modificada por absorção, espalhamento e nuvens. POA [W m⁻²] representa um plano inclinado e, no PVDAQ 2107, é a medição que alimenta a cadeia principal. Essas distinções fundamentam a subseção 1.2 e evitam substituir observações por cálculos.</w:t>
      </w:r>
    </w:p>
    <w:p>
      <w:pPr>
        <w:pStyle w:val="Heading2"/>
        <w:keepNext/>
        <w:pageBreakBefore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REFERÊNCIAS UTILIZADAS</w:t>
      </w:r>
    </w:p>
    <w:bookmarkEnd w:id="33"/>
    <w:bookmarkEnd w:id="34"/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DELINE, Chris; PERRY, Kirsten; DECEGLIE, Michael; MULLER, Matthew; SEKULIC, William; JORDAN, Dirk.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Photovoltaic Data Acquisition (PVDAQ)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Public Datasets</w:t>
      </w:r>
      <w:r>
        <w:rPr>
          <w:rFonts w:ascii="Times New Roman" w:hAnsi="Times New Roman"/>
          <w:b w:val="0"/>
          <w:i w:val="0"/>
          <w:color w:val="000000"/>
          <w:sz w:val="24"/>
        </w:rPr>
        <w:t>. United States, 21 dez. 2021. Conjunto de dados. DOI: https://doi.org/10.25984/1846021.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DUFFIE, John A.; BECKMAN, William A.; BLAIR, Nathan.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Solar engineering of thermal processes, photovoltaics and wind</w:t>
      </w:r>
      <w:r>
        <w:rPr>
          <w:rFonts w:ascii="Times New Roman" w:hAnsi="Times New Roman"/>
          <w:b w:val="0"/>
          <w:i w:val="0"/>
          <w:color w:val="000000"/>
          <w:sz w:val="24"/>
        </w:rPr>
        <w:t>. 5. ed. Hoboken: Wiley, 2020. ISBN 9781119540311. DOI: https://doi.org/10.1002/9781119540328.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NOAA GLOBAL MONITORING LABORATORY.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General solar position calculations</w:t>
      </w:r>
      <w:r>
        <w:rPr>
          <w:rFonts w:ascii="Times New Roman" w:hAnsi="Times New Roman"/>
          <w:b w:val="0"/>
          <w:i w:val="0"/>
          <w:color w:val="000000"/>
          <w:sz w:val="24"/>
        </w:rPr>
        <w:t>. [S. l.]: NOAA, [s. d.]. 2 p. Disponível em: https://gml.noaa.gov/grad/solcalc/solareqns.PDF. Acesso em: 27 out. 2026.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PVLIB CONTRIBUTORS.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pvlib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python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: get_extra_radiation e spa_python</w:t>
      </w:r>
      <w:r>
        <w:rPr>
          <w:rFonts w:ascii="Times New Roman" w:hAnsi="Times New Roman"/>
          <w:b w:val="0"/>
          <w:i w:val="0"/>
          <w:color w:val="000000"/>
          <w:sz w:val="24"/>
        </w:rPr>
        <w:t>. Versão 0.16.1. 2026. Disponível em: https://pvlib-python.readthedocs.io/en/v0.16.1/reference/generated/pvlib.irradiance.get_extra_radiation.html. Acesso em: 27 out. 2026.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REDA, Ibrahim; ANDREAS, Afshin. </w:t>
      </w:r>
      <w:r>
        <w:rPr>
          <w:rFonts w:ascii="Times New Roman" w:hAnsi="Times New Roman"/>
          <w:b w:val="0"/>
          <w:i w:val="1"/>
          <w:color w:val="000000"/>
          <w:sz w:val="24"/>
          <w:iCs w:val="1"/>
        </w:rPr>
        <w:t xml:space="preserve">Solar position algorithm for solar radiation applications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Solar Energy</w:t>
      </w:r>
      <w:r>
        <w:rPr>
          <w:rFonts w:ascii="Times New Roman" w:hAnsi="Times New Roman"/>
          <w:b w:val="0"/>
          <w:i w:val="0"/>
          <w:color w:val="000000"/>
          <w:sz w:val="24"/>
        </w:rPr>
        <w:t>, v. 76, n. 5, p. 577–589, 2004. DOI: https://doi.org/10.1016/j.solener.2003.12.003.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REDA, Ibrahim; ANDREAS, Afshin.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Solar position algorithm for solar radiation applications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/>
          <w:b w:val="0"/>
          <w:i w:val="1"/>
          <w:color w:val="000000"/>
          <w:sz w:val="24"/>
          <w:iCs w:val="1"/>
        </w:rPr>
        <w:t xml:space="preserve">Revised January 2008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. Golden: National Renewable Energy Laboratory, 2008. Relatório NREL/TP-560-34302. DOI: https://doi.org/10.2172/15003974.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SENGUPTA, Manajit </w:t>
      </w:r>
      <w:r>
        <w:rPr>
          <w:rFonts w:ascii="Times New Roman" w:hAnsi="Times New Roman"/>
          <w:b w:val="0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(ed.). </w:t>
      </w:r>
      <w:r>
        <w:rPr>
          <w:rFonts w:ascii="Times New Roman" w:hAnsi="Times New Roman"/>
          <w:b/>
          <w:i w:val="1"/>
          <w:color w:val="000000"/>
          <w:sz w:val="24"/>
          <w:iCs w:val="1"/>
        </w:rPr>
        <w:t xml:space="preserve">Best practices handbook for the collection and use of solar resource data for solar energy applications</w:t>
      </w:r>
      <w:r>
        <w:rPr>
          <w:rFonts w:ascii="Times New Roman" w:hAnsi="Times New Roman"/>
          <w:b w:val="0"/>
          <w:i w:val="0"/>
          <w:color w:val="000000"/>
          <w:sz w:val="24"/>
        </w:rPr>
        <w:t>. 4. ed. Golden: National Renewable Energy Laboratory, 2024. Relatório NREL/TP-5D00-88300. DOI: https://doi.org/10.2172/2448063. Disponível em: https://docs.nrel.gov/docs/fy24osti/88300.pdf. Acesso em: 27 out. 2026.</w:t>
      </w:r>
    </w:p>
    <w:p>
      <w:pPr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TEIXEIRA, Samuel Constantino </w:t>
      </w:r>
      <w:r>
        <w:rPr>
          <w:rFonts w:ascii="Times New Roman" w:hAnsi="Times New Roman"/>
          <w:b w:val="0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4"/>
        </w:rPr>
        <w:t>SPGER0046 Energias Renováveis: configuração e dados preparados do estudo PVDAQ 2107</w:t>
      </w:r>
      <w:r>
        <w:rPr>
          <w:rFonts w:ascii="Times New Roman" w:hAnsi="Times New Roman"/>
          <w:b w:val="0"/>
          <w:i w:val="0"/>
          <w:color w:val="000000"/>
          <w:sz w:val="24"/>
        </w:rPr>
        <w:t>. 2026. Repositório de trabalho. Dados utilizados: abril a junho de 2024. Disponível em: https://github.com/samuelasroma-byte/SPGER0046_Energias_Renovaveis. Acesso em: 27 out. 2026.</w:t>
        <w:br/>
      </w:r>
    </w:p>
    <w:sectPr>
      <w:headerReference w:type="default" r:id="rId10"/>
      <w:pgSz w:h="16838" w:w="11906"/>
      <w:pgMar w:top="1701" w:left="1701" w:right="1134" w:bottom="1134" w:header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0"/>
      </w:rPr>
    </w: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40"/>
      <w:ind w:firstLine="709"/>
      <w:jc w:val="both"/>
    </w:pPr>
    <w:rPr>
      <w:rFonts w:ascii="Times New Roman" w:hAnsi="Times New Roman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40" w:before="180" w:line="360" w:lineRule="auto"/>
      <w:ind w:firstLine="709"/>
      <w:jc w:val="both"/>
    </w:pPr>
    <w:rPr>
      <w:rFonts w:ascii="Times New Roman" w:hAnsi="Times New Roman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40"/>
      <w:ind w:firstLine="709"/>
      <w:jc w:val="both"/>
    </w:pPr>
    <w:rPr>
      <w:rFonts w:ascii="Times New Roman" w:hAnsi="Times New Roman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240"/>
      <w:ind w:firstLine="0"/>
      <w:jc w:val="center"/>
    </w:pPr>
    <w:rPr>
      <w:rFonts w:asciiTheme="majorHAnsi" w:cstheme="majorBidi" w:eastAsiaTheme="majorEastAsia" w:hAnsiTheme="majorHAnsi" w:ascii="Times New Roman" w:hAnsi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pPr>
      <w:keepNext/>
      <w:spacing w:before="240" w:after="160"/>
      <w:ind w:firstLine="0"/>
    </w:pPr>
    <w:rPr>
      <w:rFonts w:ascii="Times New Roman" w:hAnsi="Times New Roman"/>
      <w:b/>
      <w:i w:val="0"/>
      <w:color w:val="000000"/>
      <w:sz w:val="24"/>
    </w:rPr>
  </w:style>
  <w:style w:type="paragraph" w:customStyle="1" w:styleId="Heading2">
    <w:name w:val="heading 2"/>
    <w:pPr>
      <w:keepNext/>
      <w:spacing w:before="240" w:after="160"/>
      <w:ind w:firstLine="0"/>
    </w:pPr>
    <w:rPr>
      <w:rFonts w:ascii="Times New Roman" w:hAnsi="Times New Roman"/>
      <w:b/>
      <w:i w:val="0"/>
      <w:color w:val="000000"/>
      <w:sz w:val="24"/>
    </w:rPr>
  </w:style>
  <w:style w:type="paragraph" w:customStyle="1" w:styleId="Heading3">
    <w:name w:val="heading 3"/>
    <w:pPr>
      <w:keepNext/>
      <w:spacing w:before="240" w:after="160"/>
      <w:ind w:firstLine="0"/>
    </w:pPr>
    <w:rPr>
      <w:rFonts w:ascii="Times New Roman" w:hAnsi="Times New Roman"/>
      <w:b/>
      <w:i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0" Type="http://schemas.openxmlformats.org/officeDocument/2006/relationships/header" Target="header1.xml"/><Relationship Id="rId11" Type="http://schemas.openxmlformats.org/officeDocument/2006/relationships/image" Target="media/image2.png"/><Relationship Id="rId12" Type="http://schemas.openxmlformats.org/officeDocument/2006/relationships/image" Target="media/figura_vetorial1.svg"/><Relationship Id="rId13" Type="http://schemas.openxmlformats.org/officeDocument/2006/relationships/image" Target="media/image3.png"/><Relationship Id="rId14" Type="http://schemas.openxmlformats.org/officeDocument/2006/relationships/image" Target="media/figura_vetorial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2026-10-26T16:42:51Z</dcterms:created>
  <dcterms:modified xsi:type="dcterms:W3CDTF">2026-10-26T16:42:51Z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