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dição-e-estimativa-do-recurso-solar"/>
    <w:p>
      <w:pPr>
        <w:pStyle w:val="Heading1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 MEDIÇÃO E ESTIMATIVA DO RECURSO SOLAR</w:t>
      </w:r>
    </w:p>
    <w:bookmarkStart w:id="20" w:name="medições-radiométricas-de-superfície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1.4.1 MEDIÇÕES RADIOMÉTRICAS DE SUPERFÍCIE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caracterização do recurso solar combina observações de superfície e estimativas que ampliam a cobertura temporal ou espacial. A medição local fornece uma referência próxima às condições de operação do sistema, mas sua utilidade depende da grandeza medida, da instalação, da manutenção e da rastreabilidade da calibração. Um sensor em uma montagem fixa não fornece indistintamente todas as componentes como canais independentes. Há sistemas de sombra rotativa que alternam a observação global e difusa e calculam a componente direta normal; essa alternância não constitui três medições simultâneas independentes. A existência de um arquivo numérico também não substitui a avaliação de sua qualidade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3, p. 3–7; cap. 4, p. 1).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Piranômetros instalados horizontalmente são empregados na medição de GHI; com o bloqueio adequado da contribuição direta, permitem medir DHI. Pireliômetros acompanham a direção solar e medem DNI em um campo de visão restrito. Sensores posicionados no plano dos módulos medem a irradiância correspondente à orientação dessa superfície. Portanto, o plano de montagem é parte da definição do mensurando, e não um detalhe dispensável dos metadados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3, p. 5–7).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tecnologia do detector também importa. Sensores de termopilha e sensores fotoelétricos apresentam respostas espectrais e temporais diferentes. Uma comparação deve considerar essas características, além de nivelamento, obstruções, limpeza, sincronização e estabilidade da aquisição. A classe ou a especificação nominal do instrumento não encerra a incerteza da medição em campo, porque instalação, ambiente e processamento acrescentam contribuições próprias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3, p. 5–7; cap. 10, p. 5–6).</w:t>
      </w:r>
    </w:p>
    <w:bookmarkEnd w:id="20"/>
    <w:bookmarkStart w:id="21" w:name="X61ce28bd515bd4de75c5eed78a44cb356aa3c4a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1.4.2 ESTIMATIVAS POR SATÉLITE, REANÁLISES E ATLAS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Produtos derivados de satélite estimam a radiação na superfície a partir de informações observadas pelo sensor orbital e de modelos que representam as interações atmosféricas. Métodos físicos podem recuperar propriedades de nuvens e utilizá-las em modelos de transferência radiativa; métodos empíricos ou semiempíricos relacionam observações orbitais e condições radiométricas de superfície por procedimentos de calibração e parametrização. Dessa forma, o valor de irradiância de superfície de um produto de satélite é uma estimativa modelada, ainda que utilize medições remotas como entrada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7, p. 1–3 e 7–8).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Reanálises fornecem séries históricas produzidas por sistemas de modelagem atmosférica com assimilação de observações. A irradiância de superfície é uma variável diagnosticada pelo sistema e permanece dependente da representação de nuvens e demais processos radiativos. ERA5 e MERRA-2 são exemplos discutidos na literatura técnica; sua identificação como reanálises não deve ser confundida com a existência de uma estação radiométrica em cada ponto da grade. Comparações locais devem examinar a documentação específica do produto e sua aderência ao regime de interesse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7, p. 2).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Atlas solarimétricos sintetizam a distribuição espacial de indicadores do recurso, frequentemente como médias ou totais de períodos extensos. A interpretação de um mapa depende da base subjacente, do período, da componente e da unidade. Um atlas não constitui necessariamente uma medição independente dos produtos que utiliza e, por apresentar uma síntese climatológica, não reconstitui automaticamente uma sequência diária observada. Essa interpretação é uma consequência da agregação espacial e temporal: a comparação deve preservar o suporte estatístico da grandeza representada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6, p. 17 e 24; cap. 8, p. 4).</w:t>
      </w:r>
    </w:p>
    <w:bookmarkEnd w:id="21"/>
    <w:bookmarkStart w:id="22" w:name="resolução-e-representatividade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1.4.3 RESOLUÇÃO E REPRESENTATIVIDADE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resolução espacial informa o suporte ou detalhamento nominal do produto, enquanto a resolução temporal descreve sua frequência ou agregação. Representatividade é a capacidade de esses dados descreverem o domínio e o fenômeno de interesse. Uma estação caracteriza a recepção radiativa no local e no plano de seu sensor; um produto em grade representa uma estimativa associada a uma área e a um procedimento espacial. Os dois suportes podem responder de modo diferente a heterogeneidades de nebulosidade e relevo, mesmo com carimbos temporais coincidentes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6, p. 17).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No tempo, coincidência de rótulos não assegura equivalência de integração. Um valor instantâneo às 12 h, uma média entre 12 h e 12 h 15 min e uma energia acumulada desde o início da hora representam objetos diferentes. Antes do confronto, é necessário verificar o fuso, a posição do rótulo no intervalo, a duração da integração e o tratamento do horário de verão. A harmonização deve preservar a energia quando converte entre irradiância média e irradiação. Por si só, aumentar a frequência por interpolação não demonstra recuperação exata de oscilações subintervalo desconhecidas sem informação ou hipóteses adicionais. Essa ressalva é uma inferência metodológica da diferença entre observação e reconstrução (DUFFIE; BECKMAN; BLAIR, 2020, p. 10–11; 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6, p. 24–25).</w:t>
      </w:r>
    </w:p>
    <w:bookmarkEnd w:id="22"/>
    <w:bookmarkStart w:id="23" w:name="qualidade-completude-e-incerteza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1.4.4 QUALIDADE, COMPLETUDE E INCERTEZA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 controle de qualidade deve identificar registros ausentes, valores suspeitos e condições que comprometem a interpretação física. Testes automáticos precisam ser complementados pela inspeção das séries e pelo conhecimento da instrumentação. Um único sensor POA limita a aplicação de testes que dependeriam de observações independentes de outras componentes. A remoção de dados também altera a amostra disponível e precisa ser acompanhada de justificativa e identificação dos intervalos envolvidos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4, p. 1 e 15).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completude pode ser expressa pela razão entre os registros válidos e os registros esperados no domínio analisado. Esse indicador deve informar se abrange o período inteiro, apenas os intervalos diurnos ou uma amostra comum entre produtos. Percentuais obtidos com denominadores distintos não são diretamente comparáveis. Um limite de aceitação é uma decisão do protocolo do estudo e não deve ser apresentado como regra universal sem fundamentação específica. Além disso, alta completude não demonstra ausência de viés, assim como uma série sem lacunas pode conter valores sistematicamente incorretos.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A incerteza da medição reúne contribuições do instrumento, da calibração, da aquisição e das condições de campo. Nas estimativas modeladas, acrescentam-se limitações das entradas, da representação física e de sua propagação até a saída. A comparação com uma referência observacional também incorpora a incerteza dessa referência e diferenças de representatividade. Assim, métricas de erro são evidências sobre a discrepância na amostra confrontada, mas não equivalem, isoladamente, a uma descrição completa da incerteza do recurso (SENGUPTA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, 2024, cap. 10, p. 5–6). O tratamento quantitativo do desempenho da modelagem e de suas métricas permanece atribuído à Seção 4.</w:t>
      </w:r>
    </w:p>
    <w:bookmarkEnd w:id="23"/>
    <w:bookmarkStart w:id="24" w:name="aplicação-e-limites-do-pvdaq-2107"/>
    <w:p>
      <w:pPr>
        <w:pStyle w:val="Heading2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1.4.5 APLICAÇÃO E LIMITES DO PVDAQ 2107</w:t>
      </w:r>
    </w:p>
    <w:p>
      <w:pPr>
        <w:pStyle w:val="FirstParagraph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O estudo coletivo utiliza a POA local como entrada radiativa principal e calcula os ângulos solares com a localização e o tempo documentados. No arquivo de 15 minutos empregado para a conferência da Seção 1, a grade temporal contém 8.736 intervalos entre 1º de abril e 1º de julho de 2024, com término exclusivo, correspondendo a 91 dias locais. Essa quantidade descreve a grade esperada, e não demonstra que todas as observações sejam válidas.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Em 17 de maio, há 96 posições temporais, 94 médias POA não ausentes e 68 intervalos com três amostras de irradiância na agregação. São indicadores diferentes: disponibilidade da média e completude das amostras de origem. Esses resultados foram obtidos pela leitura e conferência do CSV preparado, sem preencher lacunas ou transformar a série reconstruída em observação. A Figura G01 utiliza os pontos médios para a apresentação conjunta da geometria e das médias observadas, mantendo a diferença de suporte temporal registrada no método.</w:t>
      </w:r>
    </w:p>
    <w:p>
      <w:pPr>
        <w:pStyle w:val="BodyText"/>
        <w:widowControl/>
        <w:spacing w:line="360" w:lineRule="auto" w:after="120"/>
        <w:ind w:firstLine="709"/>
      </w:pPr>
      <w:r>
        <w:rPr>
          <w:rFonts w:ascii="Times New Roman" w:hAnsi="Times New Roman"/>
          <w:i w:val="0"/>
          <w:color w:val="000000"/>
          <w:sz w:val="24"/>
        </w:rPr>
        <w:t xml:space="preserve">Não foram disponibilizadas, na seleção utilizada pelo capítulo, medições locais independentes de GHI, DNI e DHI. Consequentemente, estimativas obtidas a partir da POA devem conservar a identificação de reconstrução e não podem funcionar como referência independente para a própria cadeia que as gerou. A caracterização do recurso termina, portanto, com um conjunto de entradas, convenções e limitações verificáveis. Essas informações fundamentam as seções seguintes sobre ambiente de instalação, conversão fotovoltaica e avaliação de desempenho, preservando o alcance das evidências disponíveis.</w:t>
      </w:r>
    </w:p>
    <w:bookmarkEnd w:id="24"/>
    <w:bookmarkEnd w:id="25"/>
    <w:bookmarkStart w:id="26" w:name="referências"/>
    <w:p>
      <w:pPr>
        <w:pStyle w:val="Heading1"/>
        <w:keepNext/>
        <w:widowControl/>
        <w:spacing w:line="360" w:lineRule="auto" w:after="120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REFERÊNCIAS</w:t>
      </w:r>
    </w:p>
    <w:p>
      <w:pPr>
        <w:pStyle w:val="FirstParagraph"/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i w:val="0"/>
          <w:color w:val="000000"/>
          <w:sz w:val="24"/>
        </w:rPr>
        <w:t xml:space="preserve">DUFFIE, John A.; BECKMAN, William A.; BLAIR, Nathan.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/>
          <w:b/>
          <w:i w:val="1"/>
          <w:color w:val="000000"/>
          <w:sz w:val="24"/>
          <w:iCs w:val="1"/>
        </w:rPr>
        <w:t xml:space="preserve">Solar engineering of thermal processes, photovoltaics and wind</w:t>
      </w:r>
      <w:r>
        <w:rPr>
          <w:rFonts w:ascii="Times New Roman" w:hAnsi="Times New Roman"/>
          <w:i w:val="0"/>
          <w:color w:val="000000"/>
          <w:sz w:val="24"/>
        </w:rPr>
        <w:t xml:space="preserve">. 5. ed. Hoboken: Wiley, 2020. ISBN 9781119540311. DOI: https://doi.org/10.1002/9781119540328.</w:t>
      </w:r>
    </w:p>
    <w:p>
      <w:pPr>
        <w:pStyle w:val="BodyText"/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i w:val="0"/>
          <w:color w:val="000000"/>
          <w:sz w:val="24"/>
        </w:rPr>
        <w:t xml:space="preserve">SENGUPTA, Manajit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 (ed.).</w:t>
      </w:r>
      <w:r>
        <w:rPr>
          <w:rFonts w:ascii="Times New Roman" w:hAnsi="Times New Roman"/>
          <w:i w:val="0"/>
          <w:color w:val="000000"/>
          <w:sz w:val="24"/>
        </w:rPr>
        <w:t xml:space="preserve"> </w:t>
      </w:r>
      <w:r>
        <w:rPr>
          <w:bCs/>
          <w:rFonts w:ascii="Times New Roman" w:hAnsi="Times New Roman"/>
          <w:b/>
          <w:i w:val="1"/>
          <w:color w:val="000000"/>
          <w:sz w:val="24"/>
          <w:iCs w:val="1"/>
        </w:rPr>
        <w:t xml:space="preserve">Best practices handbook for the collection and use of solar resource data for solar energy applications</w:t>
      </w:r>
      <w:r>
        <w:rPr>
          <w:rFonts w:ascii="Times New Roman" w:hAnsi="Times New Roman"/>
          <w:i w:val="0"/>
          <w:color w:val="000000"/>
          <w:sz w:val="24"/>
        </w:rPr>
        <w:t xml:space="preserve">. 4. ed. Golden: National Renewable Energy Laboratory, 2024. Relatório NREL/TP-5D00-88300. DOI: https://doi.org/10.2172/2448063. Disponível em: https://docs.nrel.gov/docs/fy24osti/88300.pdf. Acesso em: 27 out. 2026.</w:t>
      </w:r>
    </w:p>
    <w:p>
      <w:pPr>
        <w:pStyle w:val="BodyText"/>
        <w:widowControl/>
        <w:spacing w:line="240" w:lineRule="auto" w:after="120"/>
        <w:ind w:left="340" w:hanging="340"/>
        <w:jc w:val="left"/>
      </w:pPr>
      <w:r>
        <w:rPr>
          <w:rFonts w:ascii="Times New Roman" w:hAnsi="Times New Roman"/>
          <w:i w:val="0"/>
          <w:color w:val="000000"/>
          <w:sz w:val="24"/>
        </w:rPr>
        <w:t xml:space="preserve">TEIXEIRA, Samuel Constantino </w:t>
      </w:r>
      <w:r>
        <w:rPr>
          <w:rFonts w:ascii="Times New Roman" w:hAnsi="Times New Roman"/>
          <w:i w:val="1"/>
          <w:color w:val="000000"/>
          <w:sz w:val="24"/>
          <w:iCs w:val="1"/>
        </w:rPr>
        <w:t xml:space="preserve">et al.</w:t>
      </w:r>
      <w:r>
        <w:rPr>
          <w:rFonts w:ascii="Times New Roman" w:hAnsi="Times New Roman"/>
          <w:i w:val="0"/>
          <w:color w:val="000000"/>
          <w:sz w:val="24"/>
        </w:rPr>
        <w:t xml:space="preserve"> </w:t>
      </w:r>
      <w:r>
        <w:rPr>
          <w:bCs/>
          <w:rFonts w:ascii="Times New Roman" w:hAnsi="Times New Roman"/>
          <w:b/>
          <w:i w:val="0"/>
          <w:color w:val="000000"/>
          <w:sz w:val="24"/>
        </w:rPr>
        <w:t xml:space="preserve">SPGER0046 Energias Renováveis: configuração e dados preparados do estudo PVDAQ 2107</w:t>
      </w:r>
      <w:r>
        <w:rPr>
          <w:rFonts w:ascii="Times New Roman" w:hAnsi="Times New Roman"/>
          <w:i w:val="0"/>
          <w:color w:val="000000"/>
          <w:sz w:val="24"/>
        </w:rPr>
        <w:t xml:space="preserve">. 2026. Repositório de trabalho. Dados utilizados: abril a junho de 2024. Disponível em: https://github.com/samuelasroma-byte/SPGER0046_Energias_Renovaveis. Acesso em: 27 out. 2026.</w:t>
      </w:r>
    </w:p>
    <w:bookmarkEnd w:id="26"/>
    <w:sectPr>
      <w:headerReference r:id="rId9" w:type="default"/>
      <w:pgSz w:h="16838" w:w="11906"/>
      <w:pgMar w:bottom="1134" w:header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0"/>
      </w:rPr>
    </w:r>
    <w:fldSimple w:instr="PAGE"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360" w:lineRule="auto"/>
      <w:ind w:firstLine="709"/>
      <w:jc w:val="both"/>
    </w:pPr>
    <w:rPr>
      <w:rFonts w:ascii="Times New Roman" w:hAnsi="Times New Roman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40" w:before="180" w:line="360" w:lineRule="auto"/>
      <w:ind w:firstLine="709"/>
      <w:jc w:val="both"/>
    </w:pPr>
    <w:rPr>
      <w:rFonts w:ascii="Times New Roman" w:hAnsi="Times New Roman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40" w:line="360" w:lineRule="auto"/>
      <w:ind w:firstLine="709"/>
      <w:jc w:val="both"/>
    </w:pPr>
    <w:rPr>
      <w:rFonts w:ascii="Times New Roman" w:hAnsi="Times New Roman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240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Heading1" w:type="paragraph">
    <w:name w:val="heading 1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4"/>
    </w:rPr>
  </w:style>
  <w:style w:customStyle="1" w:styleId="Heading2" w:type="paragraph">
    <w:name w:val="heading 2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4"/>
    </w:rPr>
  </w:style>
  <w:style w:customStyle="1" w:styleId="Heading3" w:type="paragraph">
    <w:name w:val="heading 3"/>
    <w:pPr>
      <w:keepNext/>
      <w:spacing w:after="160" w:before="240"/>
      <w:ind w:firstLine="0"/>
    </w:pPr>
    <w:rPr>
      <w:rFonts w:ascii="Times New Roman" w:hAnsi="Times New Roman"/>
      <w:b/>
      <w:i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2026-10-27T19:17:04Z</dcterms:created>
  <dcterms:modified xsi:type="dcterms:W3CDTF">2026-10-27T19:17:04Z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