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Plano da equipe para construir o capítulo SPGER0046</w:t>
      </w:r>
    </w:p>
    <w:p>
      <w:r>
        <w:rPr>
          <w:b w:val="0"/>
        </w:rPr>
        <w:t>Recurso solar e modelagem da conversão fotovoltaica</w:t>
      </w:r>
    </w:p>
    <w:p>
      <w:r>
        <w:rPr>
          <w:b w:val="0"/>
        </w:rPr>
        <w:t xml:space="preserve">PPGER UFPB</w:t>
      </w:r>
    </w:p>
    <w:p>
      <w:r>
        <w:rPr>
          <w:b/>
        </w:rPr>
        <w:t xml:space="preserve">O capítulo utiliza o estudo PVDAQ 2107 e uma cadeia comum de dados e modelos, organizada em quatro seções. O GitHub reúne redação, código, documentos e resultados; o Drive dá acesso às referências bibliográficas.</w:t>
      </w:r>
    </w:p>
    <w:p>
      <w:pPr>
        <w:pStyle w:val="Heading1"/>
      </w:pPr>
      <w:r>
        <w:t>Acervo ativo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160"/>
      </w:tblGrid>
      <w:tr>
        <w:trPr>
          <w:cantSplit/>
          <w:tblHeader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color w:val="FFFFFF"/>
                <w:sz w:val="23"/>
              </w:rPr>
              <w:t>Categoria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</w:rPr>
              <w:t>Documentos distintos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Artigos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63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Livros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9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Dissertações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3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Teses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3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Relatórios e manuais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12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TCC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1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Normas técnicas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0</w:t>
            </w:r>
          </w:p>
        </w:tc>
      </w:tr>
      <w:tr>
        <w:trPr>
          <w:cantSplit/>
        </w:trPr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Total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91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O acervo reúne 91 documentos em 160 cópias, distribuídas nas 28 pastas das quatro seções. Os nove livros incluem edições diferentes. A contagem exclui materiais parciais, dados e saídas do cálculo.</w:t>
      </w:r>
    </w:p>
    <w:p>
      <w:r>
        <w:rPr>
          <w:b w:val="0"/>
        </w:rPr>
        <w:t xml:space="preserve">A090 é Kalogirou (2009), sem folhas iniciais; A091 é um trecho de Luque e Hegedus (2011). Os dois originais e sete cópias estão na pasta de materiais parciais e outras edições, fora do acervo ativo.</w:t>
      </w:r>
    </w:p>
    <w:p>
      <w:hyperlink r:id="rId9">
        <w:r>
          <w:rPr>
            <w:color w:val="005C86"/>
            <w:u w:val="single"/>
          </w:rPr>
          <w:t>Abrir os materiais retirados</w:t>
        </w:r>
      </w:hyperlink>
    </w:p>
    <w:p>
      <w:r>
        <w:br w:type="page"/>
      </w:r>
    </w:p>
    <w:p>
      <w:pPr>
        <w:pStyle w:val="Heading1"/>
      </w:pPr>
      <w:r>
        <w:t xml:space="preserve">Dados e resultados do estudo</w:t>
      </w:r>
    </w:p>
    <w:p>
      <w:r>
        <w:rPr>
          <w:b w:val="0"/>
        </w:rPr>
        <w:t>O caso principal é Farm Solar Array, PVDAQ 2107, em Arbuckle, Califórnia. A configuração v1.2.2 usa de 1º de abril a 30 de junho de 2024, no horário local America/Los_Angeles. São 91 dias; os índices exportados usam UTC. O ano 2026 das fontes gráficas é o ano da elaboração.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cantSplit/>
          <w:tblHeader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color w:val="FFFFFF"/>
                <w:sz w:val="23"/>
              </w:rPr>
              <w:t>Etapa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</w:rPr>
              <w:t>O que existe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Entradas medidas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POA no plano dos módulos, temperatura do ar e vento locais.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Cálculos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Temperatura operacional, módulo, arranjo CC, inversor, potência CA e energia.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Comparação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Potência CA simulada versus medidor CA da própria instalação.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Amostra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4.401 pares diurnos entre 4.421 elegíveis; 99,55% de disponibilidade conjunta.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Exploração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Componentes GHI/DNI/DHI reconstruídas e cenários de albedo, sujidade e BIPV.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O notebook contém 25 células de código com execução registrada. O guia REPRODUTIBILIDADE.md descreve a rotina de cálculo e as verificações.</w:t>
      </w:r>
    </w:p>
    <w:p>
      <w:r>
        <w:rPr>
          <w:b w:val="0"/>
        </w:rPr>
        <w:t>O modelo físico salvo tem RMSE de 61,59 kW e viés de +31,77 kW. O ajuste empírico usa somente abril; maio e junho são avaliações posteriores. Manter resultados físicos e ajustados separados.</w:t>
      </w:r>
    </w:p>
    <w:p>
      <w:r>
        <w:rPr>
          <w:b w:val="0"/>
        </w:rPr>
        <w:t>Não há temperatura de célula ou GHI/DNI/DHI locais para validar isoladamente essas etapas. BIPV usa 1.037 horas elegíveis e propriedades hipotéticas, sem fachada medida. NASA POWER fica fora da cadeia principal.</w:t>
      </w:r>
    </w:p>
    <w:p>
      <w:r>
        <w:rPr>
          <w:b w:val="0"/>
        </w:rPr>
        <w:t xml:space="preserve">Os dados IFES de dezembro de 2024 a julho de 2025 constituem uma base alternativa, com pendências documentadas. Eles não alimentam o estudo PVDAQ.</w:t>
      </w:r>
    </w:p>
    <w:p>
      <w:hyperlink r:id="rId10">
        <w:r>
          <w:rPr>
            <w:color w:val="005C86"/>
            <w:u w:val="single"/>
          </w:rPr>
          <w:t>Abrir o notebook principal executado</w:t>
        </w:r>
      </w:hyperlink>
    </w:p>
    <w:p>
      <w:r>
        <w:br w:type="page"/>
      </w:r>
    </w:p>
    <w:p>
      <w:pPr>
        <w:pStyle w:val="Heading1"/>
      </w:pPr>
      <w:r>
        <w:t>Divisão das quatro seções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5760"/>
      </w:tblGrid>
      <w:tr>
        <w:trPr>
          <w:cantSplit/>
          <w:tblHeader/>
        </w:trPr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color w:val="FFFFFF"/>
                <w:sz w:val="23"/>
              </w:rPr>
              <w:t>Seção e responsáveis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</w:rPr>
              <w:t>Material disponível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1 Recurso solar — Samuel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42 documentos: 30 artigos, 6 livros, 1 tese e 5 relatórios/manuais.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2 Ambiente — Vannessa e Thais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40 documentos: 23 artigos, 9 livros, 3 dissertações, 2 teses, 2 relatórios/manuais e 1 TCC.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3 Conversão — Gabriela e Giulia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37 documentos: 17 artigos, 7 livros, 2 dissertações, 3 teses e 8 relatórios/manuais.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4 Desempenho — Júlia e Lucas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41 documentos: 25 artigos, 6 livros, 3 dissertações, 2 teses e 5 relatórios/manuais.</w:t>
            </w:r>
          </w:p>
        </w:tc>
      </w:tr>
    </w:tbl>
    <w:p>
      <w:pPr>
        <w:spacing w:after="40"/>
      </w:pPr>
    </w:p>
    <w:p>
      <w:r>
        <w:rPr>
          <w:b w:val="0"/>
        </w:rPr>
        <w:t>A soma por seção é 160 porque o mesmo documento pode atender mais de uma frente. Há 91 documentos distintos no conjunto.</w:t>
      </w:r>
    </w:p>
    <w:p>
      <w:pPr>
        <w:pStyle w:val="Heading2"/>
      </w:pPr>
      <w:r>
        <w:t>Entregas que conectam a equipe</w:t>
      </w:r>
    </w:p>
    <w:p>
      <w:r>
        <w:rPr>
          <w:b w:val="0"/>
        </w:rPr>
        <w:t>1 Recurso solar: definir grandezas, geometria, variabilidade e qualidade das observações. Gráficos G01 e G02; componentes reconstruídas somente como exploração.</w:t>
      </w:r>
    </w:p>
    <w:p>
      <w:r>
        <w:rPr>
          <w:b w:val="0"/>
        </w:rPr>
        <w:t xml:space="preserve">2 Ambiente: explicar mecanismos e registrar hipóteses térmicas, radiativas e de instalação. G03, G20 e G22; o modelo térmico G04 pertence à subseção 3.2.</w:t>
      </w:r>
    </w:p>
    <w:p>
      <w:r>
        <w:rPr>
          <w:b w:val="0"/>
        </w:rPr>
        <w:t xml:space="preserve">3 Conversão: documentar a cadeia de cálculo e a integração da potência em energia. G04 a G10 e G23, conforme a distribuição por subseção.</w:t>
      </w:r>
    </w:p>
    <w:p>
      <w:r>
        <w:rPr>
          <w:b w:val="0"/>
        </w:rPr>
        <w:t>4 Desempenho: interpretar a cadeia de perdas, produtividades, PR, erros e limites. G11 a G19, G21, G24 e G25. Júlia responde por 4.1 e 4.5; Lucas por 4.2 a 4.4, conforme a proposta atual.</w:t>
      </w:r>
    </w:p>
    <w:p>
      <w:r>
        <w:rPr>
          <w:b w:val="0"/>
        </w:rPr>
        <w:t>Cada subseção entrega argumento, equações com símbolos e unidades, fontes com páginas, resultados interpretados e limitações. Começar com 3 a 5 referências centrais por subseção. O catálogo não substitui a leitura.</w:t>
      </w:r>
    </w:p>
    <w:p>
      <w:r>
        <w:br w:type="page"/>
      </w:r>
    </w:p>
    <w:p>
      <w:pPr>
        <w:pStyle w:val="Heading1"/>
      </w:pPr>
      <w:r>
        <w:t>Organização no Drive e no GitHub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7056"/>
      </w:tblGrid>
      <w:tr>
        <w:trPr>
          <w:cantSplit/>
          <w:tblHeader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color w:val="FFFFFF"/>
                <w:sz w:val="23"/>
              </w:rPr>
              <w:t>Material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</w:rPr>
              <w:t xml:space="preserve">Local dos materiais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 xml:space="preserve">Referências e dados brutos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 xml:space="preserve">Referências bibliográficas no Drive; quatro CSVs brutos e metadados em data/raw no GitHub.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Código e configuração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GitHub, com uma versão comum às quatro seções.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Notebooks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 xml:space="preserve">Notebooks de trabalho e cópias executadas no GitHub; cópias de consulta no Drive.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Figuras e tabelas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 xml:space="preserve">Arquivos e documentos nas pastas das respectivas seções, com um ID por item.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120 versões gráficas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 xml:space="preserve">Temas claro e escuro em PDF/PNG, no GitHub e no Drive.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Texto em elaboração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 xml:space="preserve">Arquivo texto.md de cada seção no GitHub, com revisão pela equipe.</w:t>
            </w:r>
          </w:p>
        </w:tc>
      </w:tr>
    </w:tbl>
    <w:p>
      <w:pPr>
        <w:spacing w:after="40"/>
      </w:pPr>
    </w:p>
    <w:p>
      <w:r>
        <w:rPr>
          <w:b w:val="0"/>
        </w:rPr>
        <w:t>As 160 cópias de PDFs somam aproximadamente 1,12 GB. Cada seção terá suas listas de artigos, livros e trabalhos acadêmicos apontando para o Drive, sem duplicar todos esses arquivos no GitHub.</w:t>
      </w:r>
    </w:p>
    <w:p>
      <w:r>
        <w:rPr>
          <w:b w:val="0"/>
        </w:rPr>
        <w:t xml:space="preserve">O repositório reúne código, configuração, dados brutos e preparados, resultados, documentos técnicos, referências, 30 ilustrações e modelos de tarefa e revisão.</w:t>
      </w:r>
    </w:p>
    <w:p>
      <w:r>
        <w:rPr>
          <w:b w:val="0"/>
        </w:rPr>
        <w:t>Na rotina proposta, cada alteração computacional usa uma branch curta e revisão por outro integrante antes de entrar na versão principal. A equipe trabalha no mesmo período e registra a versão dos cálculos citados no texto.</w:t>
      </w:r>
    </w:p>
    <w:p>
      <w:r>
        <w:rPr>
          <w:b w:val="0"/>
        </w:rPr>
        <w:t xml:space="preserve">Repositório da equipe: github.com/samuelasroma-byte/SPGER0046_Energias_Renovaveis.</w:t>
      </w:r>
    </w:p>
    <w:p>
      <w:r>
        <w:rPr>
          <w:b w:val="0"/>
        </w:rPr>
        <w:t xml:space="preserve">A redação é desenvolvida nos arquivos texto.md, com uma versão principal comum às quatro seções.</w:t>
      </w:r>
    </w:p>
    <w:p>
      <w:r>
        <w:br w:type="page"/>
      </w:r>
    </w:p>
    <w:p>
      <w:pPr>
        <w:pStyle w:val="Heading1"/>
      </w:pPr>
      <w:r>
        <w:t>Plano de execução e revisão</w:t>
      </w:r>
    </w:p>
    <w:p>
      <w:r>
        <w:rPr>
          <w:b w:val="0"/>
        </w:rPr>
        <w:t xml:space="preserve">O cronograma segue a proposta oficial. A equipe define a distribuição interna das subseções e acompanha as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848"/>
      </w:tblGrid>
      <w:tr>
        <w:trPr>
          <w:cantSplit/>
          <w:tblHeader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color w:val="FFFFFF"/>
                <w:sz w:val="23"/>
              </w:rPr>
              <w:t>Prazo de 2026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33750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23"/>
              </w:rPr>
              <w:t>Entrega prevista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Até 22/10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Roteiro de subseção, referências prioritárias e início do texto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27/10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Slides preliminares e uma subseção redigida por integrante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05/11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Segunda subseção atribuída redigida; divisão interna a confirmar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19/11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Capítulo completo integrado, introdução e considerações finais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26/11 a 01/12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Conferir ciência, referências, continuidade, figuras e formatação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color w:val="000000"/>
                <w:sz w:val="23"/>
              </w:rPr>
              <w:t>01/12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EF2F5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23"/>
              </w:rPr>
              <w:t>Correções incorporadas, slides finais e entrega</w:t>
            </w:r>
          </w:p>
        </w:tc>
      </w:tr>
    </w:tbl>
    <w:p>
      <w:pPr>
        <w:spacing w:after="40"/>
      </w:pPr>
    </w:p>
    <w:p>
      <w:pPr>
        <w:pStyle w:val="Heading2"/>
      </w:pPr>
      <w:r>
        <w:t>Próxima reunião da equipe</w:t>
      </w:r>
    </w:p>
    <w:p>
      <w:r>
        <w:rPr>
          <w:b w:val="0"/>
        </w:rPr>
        <w:t xml:space="preserve">Distribuir as subseções entre as duplas, selecionar leituras e figuras centrais, definir integrador e revisores e verificar o acesso aos materiais.</w:t>
      </w:r>
    </w:p>
    <w:p>
      <w:pPr>
        <w:pStyle w:val="Heading2"/>
      </w:pPr>
      <w:r>
        <w:t>Critérios para concluir uma subseção</w:t>
      </w:r>
    </w:p>
    <w:p>
      <w:r>
        <w:rPr>
          <w:b w:val="0"/>
        </w:rPr>
        <w:t>Afirmar apenas o que a evidência sustenta, definir equações e unidades, conferir citações e páginas, interpretar gráficos e tabelas e registrar limites. PR e energia devem usar janelas compatíveis. Cenários não são medições; o trimestre não é climatologia anual.</w:t>
      </w:r>
    </w:p>
    <w:p>
      <w:r>
        <w:rPr>
          <w:b w:val="0"/>
        </w:rPr>
        <w:t xml:space="preserve">A norma IEC 61724-1:2021 está pendente. A redação utiliza as fontes disponíveis; a alegação de conformidade depende do exame dos requisitos da norma. Os relatórios de apoio têm finalidade técnica distinta.</w:t>
      </w:r>
    </w:p>
    <w:p>
      <w:hyperlink r:id="rId11">
        <w:r>
          <w:rPr>
            <w:color w:val="005C86"/>
            <w:u w:val="single"/>
          </w:rPr>
          <w:t>Abrir a proposta atual de estrutura e cronograma</w:t>
        </w:r>
      </w:hyperlink>
    </w:p>
    <w:p>
      <w:hyperlink r:id="rId12">
        <w:r>
          <w:rPr>
            <w:color w:val="005C86"/>
            <w:u w:val="single"/>
          </w:rPr>
          <w:t>Abrir a biblioteca organizada por seção</w:t>
        </w:r>
      </w:hyperlink>
    </w:p>
    <w:p>
      <w:r>
        <w:rPr>
          <w:b w:val="0"/>
        </w:rPr>
        <w:t xml:space="preserve">O plano em Markdown apresenta os gráficos, fontes, limites e a estrutura dos materiais.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drive/folders/1P24D73lzW_Vo03GoqrAIN0v1JOqNBRuj" TargetMode="External"/><Relationship Id="rId10" Type="http://schemas.openxmlformats.org/officeDocument/2006/relationships/hyperlink" Target="https://drive.google.com/file/d/1EYHPdkAeotZTRryg73DTotHkOZH691Zk/view?usp=drivesdk" TargetMode="External"/><Relationship Id="rId11" Type="http://schemas.openxmlformats.org/officeDocument/2006/relationships/hyperlink" Target="https://docs.google.com/document/d/1v5h8IW7XLGd7LeXHOevwoKLSvLLsY9kI/edit" TargetMode="External"/><Relationship Id="rId12" Type="http://schemas.openxmlformats.org/officeDocument/2006/relationships/hyperlink" Target="https://drive.google.com/drive/folders/1Ko7bngE2QGAChdqNUVib-Ls7j7d25k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da equipe para construir o capítulo SPGER0046</dc:title>
  <dc:subject>Acervo dados divisão do trabalho e integração com GitHub</dc:subject>
  <dc:creator>Equipe SPGER0046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