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28"/>
        </w:rPr>
        <w:t>Tabelas e quadros da seção 4</w:t>
      </w:r>
    </w:p>
    <w:p>
      <w:r>
        <w:t>Avaliação de desempenho, perdas e validação da modelagem</w:t>
      </w:r>
    </w:p>
    <w:p>
      <w:r>
        <w:t>Responsáveis pela seção: Júlia Ribeiro e Lucas Simão.</w:t>
      </w:r>
    </w:p>
    <w:p>
      <w:r>
        <w:t>Cada item está associado à subseção indicada. Referências em outras partes do capítulo usam o mesmo ID.</w:t>
      </w:r>
    </w:p>
    <w:p>
      <w:r>
        <w:t>A Tabela 16 é um único item com quatro partes de continuação.</w:t>
      </w:r>
    </w:p>
    <w:p>
      <w:pPr>
        <w:pStyle w:val="Heading1"/>
      </w:pPr>
      <w:r>
        <w:t>Subseção 4.1</w:t>
      </w:r>
    </w:p>
    <w:p>
      <w:pPr>
        <w:keepNext/>
      </w:pPr>
      <w:r>
        <w:rPr>
          <w:b/>
          <w:color w:val="000000"/>
          <w:sz w:val="24"/>
        </w:rPr>
        <w:t>T11  Inserção exclusiva na subseção 4.1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11 — Energia por estágio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6652"/>
        <w:gridCol w:w="2419"/>
      </w:tblGrid>
      <w:tr>
        <w:trPr>
          <w:tblHeader/>
          <w:cantSplit/>
        </w:trPr>
        <w:tc>
          <w:tcPr>
            <w:tcW w:type="dxa" w:w="665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Estágio</w:t>
            </w:r>
          </w:p>
        </w:tc>
        <w:tc>
          <w:tcPr>
            <w:tcW w:type="dxa" w:w="241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(MWh)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Referência linear STC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570,570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Resposta SDM a 25 °C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573,967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hipótese óptica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573,967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temperatura modelada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526,428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perdas CC assumidas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503,054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conversão, antes do clipping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492,755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clipping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perdas CA assumidas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Decomposição calculada; os incrementos ou perdas entre estágios não identificam sozinhos causas reais. R08, R11 e R12.</w:t>
      </w:r>
    </w:p>
    <w:p>
      <w:pPr>
        <w:pStyle w:val="Heading1"/>
        <w:pageBreakBefore/>
      </w:pPr>
      <w:r>
        <w:t>Subseção 4.2</w:t>
      </w:r>
    </w:p>
    <w:p>
      <w:pPr>
        <w:keepNext/>
      </w:pPr>
      <w:r>
        <w:rPr>
          <w:b/>
          <w:color w:val="000000"/>
          <w:sz w:val="24"/>
        </w:rPr>
        <w:t>T16  Inserção exclusiva na subseção 4.2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5,444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5,173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5,654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7,332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4,497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4,868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6,128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1,176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1,295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1,485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4,316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6,108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4,281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4,753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6,012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5,763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7,236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5,332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7,006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5,602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7,367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4,200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4,359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5,396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0,758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0,781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0,930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3,087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3,384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4,144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7,294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5,008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6,810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2,983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3,859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7,602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5,434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7,588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5,279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7,280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pPr>
        <w:keepNext/>
        <w:spacing w:line="240" w:lineRule="auto" w:before="120" w:after="12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6,543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4,280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4,486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4,443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4,824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6,260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5,145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6,613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5,419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5,653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5,534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7,167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5,594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7,579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5,869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5,437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7,058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7,462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2,167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2,506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3,208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4,818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5,173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6,593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7,758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6,055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7,846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6,046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7,841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5,398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5,968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7,783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5,246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5,814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7,747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5,681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7,791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7,661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7,737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5,510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7,488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5,675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7,645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5,783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7,557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pPr>
        <w:keepNext/>
        <w:spacing w:line="240" w:lineRule="auto" w:before="120" w:after="12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5,362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4,132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7,548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5,992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7,726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5,851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5,882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7,790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5,495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7,554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5,874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5,932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7,789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5,776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7,427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4,485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4,849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6,332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5,714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5,876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7,619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7,622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96,1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5,500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5,587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5,696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5,284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5,515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7,173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4,688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6,385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5,481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7,472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5,319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5,402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7,429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4,771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5,315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6,770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 w:val="0"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pPr>
        <w:keepNext/>
        <w:spacing w:line="240" w:lineRule="auto" w:before="120" w:after="120"/>
        <w:ind w:firstLine="0"/>
        <w:jc w:val="center"/>
        <w:pageBreakBefore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(conclusão)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7,391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5,015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5,586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7,463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4,940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5,084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7,580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7,562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5,180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7,436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5,826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7,745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5,057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7,661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5,196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4,845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5,504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7,255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4,899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4,601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7,174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4,796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5,684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5,630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4,861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7,607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4,928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7,633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2,568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3,000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3,866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5,766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7,548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7,265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5,030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PSH=H_POA/(1 kW/m²). Somente intervalos diurnos pareados, não duração de brilho solar nem total integral do dia. n esperado e datas com fuso estão no CSV. R12 e R30.</w:t>
      </w:r>
    </w:p>
    <w:p>
      <w:pPr>
        <w:pStyle w:val="Heading1"/>
        <w:pageBreakBefore/>
      </w:pPr>
      <w:r>
        <w:t>Subseção 4.3</w:t>
      </w:r>
    </w:p>
    <w:p>
      <w:pPr>
        <w:keepNext/>
      </w:pPr>
      <w:r>
        <w:rPr>
          <w:b/>
          <w:color w:val="000000"/>
          <w:sz w:val="24"/>
        </w:rPr>
        <w:t>T10  Inserção exclusiva na subseção 4.3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10 — Produtividades e desempenho na janela pareada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4838"/>
        <w:gridCol w:w="2117"/>
        <w:gridCol w:w="2117"/>
      </w:tblGrid>
      <w:tr>
        <w:trPr>
          <w:tblHeader/>
          <w:cantSplit/>
        </w:trPr>
        <w:tc>
          <w:tcPr>
            <w:tcW w:type="dxa" w:w="4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type="dxa" w:w="211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11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Yr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638,936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Ya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563,330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Yf simulada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545,302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kWh/kWp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Yf observada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506,162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kWh/kWp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simulado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85,345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observado pareado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79,219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Lc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75,606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Ls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18,028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P₀=893 kWp declarados. Yr, Ya, Yf e PR usam a mesma máscara de 4.401 intervalos. Ya não é medição DC independente. R12 e R30.</w:t>
      </w:r>
    </w:p>
    <w:p>
      <w:pPr>
        <w:pStyle w:val="Heading1"/>
        <w:pageBreakBefore/>
      </w:pPr>
      <w:r>
        <w:t>Subseção 4.4</w:t>
      </w:r>
    </w:p>
    <w:p>
      <w:pPr>
        <w:keepNext/>
      </w:pPr>
      <w:r>
        <w:rPr>
          <w:b/>
          <w:color w:val="000000"/>
          <w:sz w:val="24"/>
        </w:rPr>
        <w:t>T03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3 — Erros de potência nas comparações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557"/>
        <w:gridCol w:w="889"/>
        <w:gridCol w:w="1541"/>
        <w:gridCol w:w="1541"/>
        <w:gridCol w:w="1541"/>
      </w:tblGrid>
      <w:tr>
        <w:trPr>
          <w:tblHeader/>
          <w:cantSplit/>
        </w:trPr>
        <w:tc>
          <w:tcPr>
            <w:tcW w:type="dxa" w:w="355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Comparação</w:t>
            </w:r>
          </w:p>
        </w:tc>
        <w:tc>
          <w:tcPr>
            <w:tcW w:type="dxa" w:w="8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medidor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31,768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50,301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61,586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inversores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22,937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40,329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50,178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Ajuste empírico em abril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-5,972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35,914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50,523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verificado em maio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-7,276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38,430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48,010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testado em junho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10,536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35,584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41,793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Erro=simulado−observado. O fator empírico foi ajustado somente em abril; o modelo físico permanece separado. R27.</w:t>
      </w:r>
    </w:p>
    <w:p>
      <w:pPr>
        <w:keepNext/>
      </w:pPr>
      <w:r>
        <w:rPr>
          <w:b/>
          <w:color w:val="000000"/>
          <w:sz w:val="24"/>
        </w:rPr>
        <w:t>T04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4 — Erros normalizados correlação e determinação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534"/>
        <w:gridCol w:w="1473"/>
        <w:gridCol w:w="1473"/>
        <w:gridCol w:w="1296"/>
        <w:gridCol w:w="1296"/>
      </w:tblGrid>
      <w:tr>
        <w:trPr>
          <w:tblHeader/>
          <w:cantSplit/>
        </w:trPr>
        <w:tc>
          <w:tcPr>
            <w:tcW w:type="dxa" w:w="353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Comparação</w:t>
            </w:r>
          </w:p>
        </w:tc>
        <w:tc>
          <w:tcPr>
            <w:tcW w:type="dxa" w:w="1473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nMBE (%)</w:t>
            </w:r>
          </w:p>
        </w:tc>
        <w:tc>
          <w:tcPr>
            <w:tcW w:type="dxa" w:w="1473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R²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medidor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7,733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14,991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0,97742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0,91998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inversores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5,466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11,957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0,98373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0,94906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Ajuste empírico em abril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-1,447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12,238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0,97448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0,94637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verificado em maio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-1,690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11,153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0,97744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0,95422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testado em junho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2,706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10,732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0,98293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0,95978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Normalização pela média observada dos pares da respectiva comparação. R²=1−SSE/SST; não foi substituído por r². R27.</w:t>
      </w:r>
    </w:p>
    <w:p>
      <w:pPr>
        <w:keepNext/>
      </w:pPr>
      <w:r>
        <w:rPr>
          <w:b/>
          <w:color w:val="000000"/>
          <w:sz w:val="24"/>
        </w:rPr>
        <w:t>T05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5 — Erros mensais do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278"/>
        <w:gridCol w:w="1022"/>
        <w:gridCol w:w="1597"/>
        <w:gridCol w:w="1725"/>
        <w:gridCol w:w="1725"/>
        <w:gridCol w:w="1725"/>
      </w:tblGrid>
      <w:tr>
        <w:trPr>
          <w:tblHeader/>
          <w:cantSplit/>
        </w:trPr>
        <w:tc>
          <w:tcPr>
            <w:tcW w:type="dxa" w:w="127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102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9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98,68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26,224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49,277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62,465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99,87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26,213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47,228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57,733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42,183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54,267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64,467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Somente o modelo físico original; mesmos pares dentro de cada mês.</w:t>
      </w:r>
    </w:p>
    <w:p>
      <w:pPr>
        <w:keepNext/>
      </w:pPr>
      <w:r>
        <w:rPr>
          <w:b/>
          <w:color w:val="000000"/>
          <w:sz w:val="24"/>
        </w:rPr>
        <w:t>T06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6 — Erros relativos mensais do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nMBE (%)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6,352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15,130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0,97448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0,91803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6,089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13,411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0,97744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0,93380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10,833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16,555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0,98293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0,90430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Denominador: média da potência observada de cada mês. Médias e amostras diferem entre meses.</w:t>
      </w:r>
    </w:p>
    <w:p>
      <w:pPr>
        <w:keepNext/>
      </w:pPr>
      <w:r>
        <w:rPr>
          <w:b/>
          <w:color w:val="000000"/>
          <w:sz w:val="24"/>
        </w:rPr>
        <w:t>T07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7 — Consistência entre soma dos inversores e medidor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296"/>
        <w:gridCol w:w="1944"/>
        <w:gridCol w:w="1944"/>
        <w:gridCol w:w="1944"/>
        <w:gridCol w:w="1944"/>
      </w:tblGrid>
      <w:tr>
        <w:trPr>
          <w:tblHeader/>
          <w:cantSplit/>
        </w:trPr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8,831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13,885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23,805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5,795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Erro definido como soma dos inversores−medidor. Esta tabela compara medições entre si; não é uma simulação.</w:t>
      </w:r>
    </w:p>
    <w:p>
      <w:pPr>
        <w:keepNext/>
      </w:pPr>
      <w:r>
        <w:rPr>
          <w:b/>
          <w:color w:val="000000"/>
          <w:sz w:val="24"/>
        </w:rPr>
        <w:t>Q06  Inserção exclusiva na subseção 4.4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6 — Desempenho 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4.1 Balanço energético e cadeia de perdas</w:t>
              <w:br/>
              <w:t>Júlia Ribeiro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Energia por estágio e alertas operacionais.</w:t>
              <w:br/>
              <w:t>Evidência: Decomposição calculada.</w:t>
              <w:br/>
              <w:t>Figuras: G11.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se identificam perdas ópticas/operacionais reais isoladas sem medições adicionais; ganhos sob frio podem ocorrer.</w:t>
              <w:br/>
              <w:t>Fontes: R08, R11, R12,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4.2 Produtividades de referência do arranjo e final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Yr, Ya, Yf e HSP na janela definida.</w:t>
              <w:br/>
              <w:t>Evidência: Indicadores sobre observações e modelo.</w:t>
              <w:br/>
              <w:t>Figuras: G21.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Ya é modelada; HSP da janela pareada não é duração de brilho solar nem total integral diário.</w:t>
              <w:br/>
              <w:t>Fontes: R12, R30.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4.3 Razão de desempenho e decomposição normalizada das perdas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PR, Lc, Ls e janela de integração.</w:t>
              <w:br/>
              <w:t>Evidência: PR observado pareado e perdas calculadas.</w:t>
              <w:br/>
              <w:t>Figuras: G12.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combinar energia integral do trimestre com POA parcial; perdas calculadas não são identificação experimental de cada causa.</w:t>
              <w:br/>
              <w:t>Fontes: R12, R30.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4.4 Validação de modelos de geração fotovoltaica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Métricas gerais, por mês/hora/POA, resíduos e consistência de medidores.</w:t>
              <w:br/>
              <w:t>Evidência: Comparação observacional da saída AC.</w:t>
              <w:br/>
              <w:t>Figuras: G13, G14, G15, G16, G17, G18, G19.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 é teste temporal separado, não instalação independente. Correlação elevada não prova exatidão; nenhum limiar universal de aceitação foi adotado.</w:t>
              <w:br/>
              <w:t>Fontes: R27,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4.5 Avaliação de desempenho de sistemas integrados à edificação</w:t>
              <w:br/>
              <w:t>Júlia Ribeiro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Produtividade/PR de cenários e conservação da partição solar.</w:t>
              <w:br/>
              <w:t>Evidência: Cenário geométrico e balanço hipotético.</w:t>
              <w:br/>
              <w:t>Figuras: G24, G25, F04.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Somente horas elegíveis da inversão; sem fachada medida, SHGC certificado, cálculo de lux ou balanço térmico completo do edifício.</w:t>
              <w:br/>
              <w:t>Fontes: R14, R19, R20.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p>
      <w:pPr>
        <w:pStyle w:val="Heading1"/>
        <w:pageBreakBefore/>
      </w:pPr>
      <w:r>
        <w:t>Subseção 4.5</w:t>
      </w:r>
    </w:p>
    <w:p>
      <w:pPr>
        <w:keepNext/>
      </w:pPr>
      <w:r>
        <w:rPr>
          <w:b/>
          <w:color w:val="000000"/>
          <w:sz w:val="24"/>
        </w:rPr>
        <w:t>T15  Inserção exclusiva na subseção 4.5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15 — Produtividade e PR dos cenários BIPV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628"/>
        <w:gridCol w:w="2419"/>
        <w:gridCol w:w="1814"/>
        <w:gridCol w:w="1209"/>
      </w:tblGrid>
      <w:tr>
        <w:trPr>
          <w:tblHeader/>
          <w:cantSplit/>
        </w:trPr>
        <w:tc>
          <w:tcPr>
            <w:tcW w:type="dxa" w:w="362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Geometria</w:t>
            </w:r>
          </w:p>
        </w:tc>
        <w:tc>
          <w:tcPr>
            <w:tcW w:type="dxa" w:w="241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Yf (kWh/kWp)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PR (%)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Horas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Inclinado de referência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543,980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85,691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sul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246,430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87,389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leste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234,280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86,778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oeste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284,804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83,846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Cenários verticais com menor ventilação. Mesma base temporal e capacidade de normalização, sem medições de fachada. R14 e R19.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e quadros da seção 4</dc:title>
  <dc:subject>Farm Solar Array PVDAQ 2107 abril a junho de 2024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