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técnico do estudo de caso PVDAQ 2107</w:t>
      </w:r>
    </w:p>
    <w:p>
      <w:pPr>
        <w:pStyle w:val="Subtitle"/>
      </w:pPr>
      <w:r>
        <w:t>Orientação comum para as quatro seções do capítulo</w:t>
      </w:r>
    </w:p>
    <w:p>
      <w:r>
        <w:rPr>
          <w:sz w:val="23"/>
        </w:rPr>
        <w:t>SPGER0046  |  PPGER UFPB  |  19 de outubro de 2026  |  Versão 1.0</w:t>
      </w:r>
    </w:p>
    <w:p>
      <w:r>
        <w:t>Usamos uma instalação fotovoltaica real como estudo de caso comum. Este guia reúne a origem dos dados, o recorte temporal, os equipamentos e as convenções das quatro seções. CC significa corrente contínua; CA, corrente alternada. Os inventários completos e os parâmetros detalhados permanecem nos arquivos indicados ao final.</w:t>
      </w:r>
    </w:p>
    <w:p>
      <w:pPr>
        <w:pStyle w:val="Heading1"/>
      </w:pPr>
      <w:r>
        <w:t>1 Origem e período</w:t>
      </w:r>
    </w:p>
    <w:p>
      <w:r>
        <w:t>PVDAQ significa Photovoltaic Data Acquisition. Os dados públicos são distribuídos pelo OEDI/NREL [1]. O sistema 2107 é a Farm Solar Array, em Arbuckle, Califórnia, EUA, nas coordenadas 38,996306° N e 122,134111° O, a 10 m de altitude.</w:t>
      </w:r>
    </w:p>
    <w:p>
      <w:r>
        <w:t>O estudo cobre 01/04/2024 a 30/06/2024, com fim exclusivo em 01/07/2024 às 00h locais. São 91 dias. Os carimbos de origem são interpretados em America/Los_Angeles, UTC−7 nesse trimestre; os arquivos preparados usam UTC e intervalos de 15 minutos. Os CSVs originais têm limites diferentes entre janeiro e novembro de 2024 [2].</w:t>
      </w:r>
    </w:p>
    <w:p>
      <w:pPr>
        <w:pStyle w:val="Heading1"/>
      </w:pPr>
      <w:r>
        <w:t>2 Instalação e equipamentos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277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5"/>
              </w:rPr>
              <w:t>Item</w:t>
            </w:r>
          </w:p>
        </w:tc>
        <w:tc>
          <w:tcPr>
            <w:tcW w:type="dxa" w:w="82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5"/>
              </w:rPr>
              <w:t>Identificação e referência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Montagem</w:t>
            </w:r>
          </w:p>
        </w:tc>
        <w:tc>
          <w:tcPr>
            <w:tcW w:type="dxa" w:w="82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Arranjo fixo no solo, suporte Schletter, inclinação de 25° e azimute de 180° (sul; norte = 0°).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Módulos</w:t>
            </w:r>
          </w:p>
        </w:tc>
        <w:tc>
          <w:tcPr>
            <w:tcW w:type="dxa" w:w="82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2.880 Hyundai HiS-M310TI. O cadastro tem 24 grupos: 19 de 120, um de 160, um de 200 e três de 80 módulos.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Inversores</w:t>
            </w:r>
          </w:p>
        </w:tc>
        <w:tc>
          <w:tcPr>
            <w:tcW w:type="dxa" w:w="82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24 ABB TRIO-27.6-TL-OUTD-S1B. O modelo adota 30 kW CA por unidade e compara 27,6 kW; o limite configurado em campo não foi confirmado.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Potência e CEC</w:t>
            </w:r>
          </w:p>
        </w:tc>
        <w:tc>
          <w:tcPr>
            <w:tcW w:type="dxa" w:w="82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P₀ declarada de 893 kWp para produtividades e razão de desempenho (PR). O registro CEC usa 309,6 W por módulo, 36 V e 8,6 A no ponto de máxima potência (MPP); sua soma STC é 891,648 kWp.</w:t>
            </w:r>
          </w:p>
        </w:tc>
      </w:tr>
    </w:tbl>
    <w:p>
      <w:pPr>
        <w:spacing w:after="0"/>
      </w:pPr>
    </w:p>
    <w:p>
      <w:r>
        <w:rPr>
          <w:sz w:val="24"/>
        </w:rPr>
        <w:t>Os parâmetros elétricos vêm do banco CEC (California Energy Commission) do SAM (System Advisor Model), preservados no projeto [4]. A tecnologia do módulo diverge entre PVDAQ e CEC; a variante de inversor US 480 V selecionada também exige confirmação. A associação real de strings e MPPTs não está documentada. O exemplo de 20 módulos em série e seis strings em paralelo é didático [3, 5].</w:t>
      </w:r>
    </w:p>
    <w:p>
      <w:pPr>
        <w:pStyle w:val="Heading1"/>
        <w:pageBreakBefore/>
      </w:pPr>
      <w:r>
        <w:t>3 Dados de entrada e referência observacional</w:t>
      </w:r>
    </w:p>
    <w:p>
      <w:r>
        <w:t>Os dados ficam separados por função, com uma base comum às quatro seções. Há quatro CSVs observacionais, 125 canais no total e um JSON de metadados. O índice de dados [2] identifica cada arquivo original e oferece o download.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917"/>
        <w:gridCol w:w="1361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5"/>
              </w:rPr>
              <w:t>Família</w:t>
            </w:r>
          </w:p>
        </w:tc>
        <w:tc>
          <w:tcPr>
            <w:tcW w:type="dxa" w:w="69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5"/>
              </w:rPr>
              <w:t>Variáveis e uso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5"/>
              </w:rPr>
              <w:t>Passo típico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Ambiente</w:t>
              <w:br/>
              <w:t>3 canais</w:t>
            </w:r>
          </w:p>
        </w:tc>
        <w:tc>
          <w:tcPr>
            <w:tcW w:type="dxa" w:w="69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Temperatura do ar, velocidade e direção do vento. Temperatura passa de °F para °C e velocidade de mph para m/s. A direção não entra na previsão principal.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5"/>
              </w:rPr>
              <w:t>15 min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Irradiância</w:t>
              <w:br/>
              <w:t>1 canal</w:t>
            </w:r>
          </w:p>
        </w:tc>
        <w:tc>
          <w:tcPr>
            <w:tcW w:type="dxa" w:w="69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POA medida, em W/m²: irradiância no plano do arranjo. É a entrada solar principal.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5"/>
              </w:rPr>
              <w:t>5 min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Elétrica</w:t>
              <w:br/>
              <w:t>120 canais</w:t>
            </w:r>
          </w:p>
        </w:tc>
        <w:tc>
          <w:tcPr>
            <w:tcW w:type="dxa" w:w="69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Corrente e tensão CC e CA e potência CA dos 24 inversores. Apoiam diagnósticos e comparação com o medidor. V × I é potência CC derivada.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5"/>
              </w:rPr>
              <w:t>5 min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Medidor</w:t>
              <w:br/>
              <w:t>1 canal</w:t>
            </w:r>
          </w:p>
        </w:tc>
        <w:tc>
          <w:tcPr>
            <w:tcW w:type="dxa" w:w="69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Potência CA medida na saída da instalação. É a referência observacional principal para avaliar a previsão de geração.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5"/>
              </w:rPr>
              <w:t>15 min</w:t>
            </w:r>
          </w:p>
        </w:tc>
      </w:tr>
    </w:tbl>
    <w:p>
      <w:pPr>
        <w:spacing w:after="0"/>
      </w:pPr>
    </w:p>
    <w:p>
      <w:r>
        <w:rPr>
          <w:b/>
        </w:rPr>
        <w:t>Entradas do modelo físico:</w:t>
      </w:r>
      <w:r>
        <w:t xml:space="preserve"> POA medida, temperatura do ar, velocidade do vento, localização, geometria e parâmetros dos equipamentos. A potência CA observada fica separada das entradas e serve à validação; a soma dos inversores é uma comparação complementar.</w:t>
      </w:r>
    </w:p>
    <w:p>
      <w:pPr>
        <w:pStyle w:val="Heading1"/>
      </w:pPr>
      <w:r>
        <w:t>4 Tratamento e hipóteses comuns</w:t>
      </w:r>
    </w:p>
    <w:p>
      <w:r>
        <w:t>A grade tem 8.736 intervalos. A comparação diurna usa elevação solar de pelo menos 10°: há 4.421 intervalos elegíveis e 4.401 pares válidos. Séries de 5 minutos só formam uma média de 15 minutos com três amostras presentes. Não se preenchem lacunas. O rótulo é tratado como início do intervalo, e a geometria solar é calculada no ponto médio.</w:t>
      </w:r>
    </w:p>
    <w:p>
      <w:r>
        <w:t>A cadeia principal usa temperatura de Faiman, módulo de diodo único com parâmetros CEC e inversor PVWatts. Adotam-se U₀ = 25 W/(m² K), U₁ = 6,84 W s/(m³ K), eficiência nominal de 98% e referência PVWatts de 96,37%. As perdas CC assumidas são fiação 2%, mismatch 2% e conexões 0,5%, combinadas multiplicativamente; a sujidade adicional de referência é 0%. Esses valores são hipóteses, e a temperatura de célula é aproximada pela temperatura estimada de Faiman [4, 6].</w:t>
      </w:r>
    </w:p>
    <w:p>
      <w:r>
        <w:rPr>
          <w:sz w:val="24"/>
        </w:rPr>
        <w:t>A energia integral do trimestre e os indicadores da janela diurna pareada têm amostras diferentes. NASA POWER e IFES ficam fora da cadeia principal. GHI, DNI e DHI obtidas por inversão da POA são estimativas exploratórias; não são componentes medidas. O albedo de 0,20 nessas etapas também é assumido.</w:t>
      </w:r>
    </w:p>
    <w:p>
      <w:pPr>
        <w:pStyle w:val="Heading1"/>
        <w:pageBreakBefore/>
      </w:pPr>
      <w:r>
        <w:t>5 Uso nas quatro seções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97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5"/>
              </w:rPr>
              <w:t>Seção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33333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5"/>
              </w:rPr>
              <w:t>Como usar a base comum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1 Recurso solar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Usar localização, horários e POA medida; distinguir ângulos calculados e componentes de radiação estimadas.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2 Ambiente e entorno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Usar temperatura do ar e vento medidos; identificar temperatura operacional calculada e hipóteses de albedo, sujidade e ventilação.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3 Conversão fotovoltaica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Usar equipamentos, registros CEC e hipóteses térmicas e elétricas; explicar a potência e a energia calculadas.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4 Desempenho e validação</w:t>
            </w:r>
          </w:p>
        </w:tc>
        <w:tc>
          <w:tcPr>
            <w:tcW w:type="dxa" w:w="75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F3F3F3"/>
          </w:tcPr>
          <w:p>
            <w:pPr>
              <w:spacing w:before="0" w:after="0" w:line="250" w:lineRule="auto"/>
            </w:pPr>
            <w:r>
              <w:rPr>
                <w:rFonts w:ascii="Arial" w:hAnsi="Arial"/>
                <w:b w:val="0"/>
                <w:color w:val="000000"/>
                <w:sz w:val="25"/>
              </w:rPr>
              <w:t>Comparar previsão CA com o medidor e manter a mesma amostra ao calcular erros, produtividades, PR e perdas. Tratar BIPV como cenário hipotético.</w:t>
            </w:r>
          </w:p>
        </w:tc>
      </w:tr>
    </w:tbl>
    <w:p>
      <w:pPr>
        <w:spacing w:after="0"/>
      </w:pPr>
    </w:p>
    <w:p>
      <w:r>
        <w:t>A referência observacional de geração é o medidor real. Este guia é a base técnica comum para orientar o grupo; as referências bibliográficas B01 a B39 fundamentam os métodos. O ajuste empírico treinado apenas em abril é analisado separadamente do modelo físico principal.</w:t>
      </w:r>
    </w:p>
    <w:p>
      <w:r>
        <w:rPr>
          <w:b/>
        </w:rPr>
        <w:t>Limites do caso:</w:t>
      </w:r>
      <w:r>
        <w:t xml:space="preserve"> faltam confirmação da topologia de strings/MPPTs, do limite CA instalado, da variante elétrica dos equipamentos, da altura do anemômetro e do histórico de limpeza. As extensões BIPV usam cenários próprios, inclusive uma fachada hipotética de 100 m² e eficiência de referência de 10%; não há medição de fachada para validá-las.</w:t>
      </w:r>
    </w:p>
    <w:p>
      <w:pPr>
        <w:pStyle w:val="Heading1"/>
      </w:pPr>
      <w:r>
        <w:t>6 Fontes e arquivos de consulta</w:t>
      </w:r>
    </w:p>
    <w:p>
      <w:pPr>
        <w:spacing w:after="100"/>
      </w:pPr>
      <w:hyperlink r:id="rId9">
        <w:r>
          <w:rPr>
            <w:color w:val="000000"/>
            <w:u w:val="single"/>
          </w:rPr>
          <w:t>[1] Deline et al. 2021  PVDAQ Public Datasets  DOI 10.25984/1846021</w:t>
        </w:r>
      </w:hyperlink>
    </w:p>
    <w:p>
      <w:pPr>
        <w:spacing w:after="100"/>
      </w:pPr>
      <w:hyperlink r:id="rId10">
        <w:r>
          <w:rPr>
            <w:color w:val="000000"/>
            <w:u w:val="single"/>
          </w:rPr>
          <w:t>[2] Dados originais  quatro CSVs  metadados  fontes e hashes</w:t>
        </w:r>
      </w:hyperlink>
    </w:p>
    <w:p>
      <w:pPr>
        <w:spacing w:after="100"/>
      </w:pPr>
      <w:hyperlink r:id="rId11">
        <w:r>
          <w:rPr>
            <w:color w:val="000000"/>
            <w:u w:val="single"/>
          </w:rPr>
          <w:t>[3] Equipamentos  montagem  medidor  dicionário dos 125 canais</w:t>
        </w:r>
      </w:hyperlink>
    </w:p>
    <w:p>
      <w:pPr>
        <w:spacing w:after="100"/>
      </w:pPr>
      <w:hyperlink r:id="rId12">
        <w:r>
          <w:rPr>
            <w:color w:val="000000"/>
            <w:u w:val="single"/>
          </w:rPr>
          <w:t>[4] Configuração executável e parâmetros CEC do projeto</w:t>
        </w:r>
      </w:hyperlink>
    </w:p>
    <w:p>
      <w:pPr>
        <w:spacing w:after="100"/>
      </w:pPr>
      <w:hyperlink r:id="rId13">
        <w:r>
          <w:rPr>
            <w:color w:val="000000"/>
            <w:u w:val="single"/>
          </w:rPr>
          <w:t>[5] Dossiê técnico completo em Word</w:t>
        </w:r>
      </w:hyperlink>
    </w:p>
    <w:p>
      <w:pPr>
        <w:spacing w:after="100"/>
      </w:pPr>
      <w:hyperlink r:id="rId14">
        <w:r>
          <w:rPr>
            <w:color w:val="000000"/>
            <w:u w:val="single"/>
          </w:rPr>
          <w:t>[6] Métodos fontes e procedência das hipóteses</w:t>
        </w:r>
      </w:hyperlink>
    </w:p>
    <w:p>
      <w:pPr>
        <w:spacing w:after="100"/>
      </w:pPr>
      <w:hyperlink r:id="rId15">
        <w:r>
          <w:rPr>
            <w:color w:val="000000"/>
            <w:u w:val="single"/>
          </w:rPr>
          <w:t>[7] Manual técnico ABB TRIO 20.0 e 27.6 TL US</w:t>
        </w:r>
      </w:hyperlink>
    </w:p>
    <w:p>
      <w:r>
        <w:rPr>
          <w:sz w:val="23"/>
        </w:rPr>
        <w:t>Consultar primeiro este guia; usar o dossiê para detalhes e os CSVs/JSONs para conferir valores. Esta síntese descreve a configuração v1.2.2 e os arquivos do repositório no commit a122123 de 19/10/2026. Os links do projeto apontam para essa versão.</w:t>
      </w:r>
    </w:p>
    <w:sectPr w:rsidR="00FC693F" w:rsidRPr="0006063C" w:rsidSect="00034616">
      <w:footerReference w:type="default" r:id="rId16"/>
      <w:pgSz w:w="12240" w:h="15840"/>
      <w:pgMar w:top="1020" w:right="1134" w:bottom="1020" w:left="1134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21"/>
      </w:rPr>
      <w:t xml:space="preserve">SPGER0046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Arial" w:hAnsi="Arial"/>
      <w:color w:val="000000"/>
      <w:sz w:val="26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6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25984/1846021" TargetMode="External"/><Relationship Id="rId10" Type="http://schemas.openxmlformats.org/officeDocument/2006/relationships/hyperlink" Target="https://github.com/samuelasroma-byte/SPGER0046_Energias_Renovaveis/blob/a12212397e2ecfdac198bffa445aee4a69a244d4/data/raw/README.md" TargetMode="External"/><Relationship Id="rId11" Type="http://schemas.openxmlformats.org/officeDocument/2006/relationships/hyperlink" Target="https://github.com/samuelasroma-byte/SPGER0046_Energias_Renovaveis/blob/a12212397e2ecfdac198bffa445aee4a69a244d4/data/equipamentos/README.md" TargetMode="External"/><Relationship Id="rId12" Type="http://schemas.openxmlformats.org/officeDocument/2006/relationships/hyperlink" Target="https://github.com/samuelasroma-byte/SPGER0046_Energias_Renovaveis/tree/a12212397e2ecfdac198bffa445aee4a69a244d4/config" TargetMode="External"/><Relationship Id="rId13" Type="http://schemas.openxmlformats.org/officeDocument/2006/relationships/hyperlink" Target="https://github.com/samuelasroma-byte/SPGER0046_Energias_Renovaveis/blob/a12212397e2ecfdac198bffa445aee4a69a244d4/docs/metodos/Dossie_Tecnico_por_Secao.docx" TargetMode="External"/><Relationship Id="rId14" Type="http://schemas.openxmlformats.org/officeDocument/2006/relationships/hyperlink" Target="https://github.com/samuelasroma-byte/SPGER0046_Energias_Renovaveis/blob/a12212397e2ecfdac198bffa445aee4a69a244d4/docs/Metodos_e_Fontes_Conferidos.md" TargetMode="External"/><Relationship Id="rId15" Type="http://schemas.openxmlformats.org/officeDocument/2006/relationships/hyperlink" Target="https://library.e.abb.com/public/9ddffa465aa146bfa43bd0854abbcc81/TRIO-20.0-27.6-TL-US_Product_Manual.pdf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técnico do estudo de caso PVDAQ 2107</dc:title>
  <dc:subject>Origem dos dados e orientação comum para as quatro seções de SPGER0046</dc:subject>
  <dc:creator>Equipe SPGER0046 PPGER UFPB</dc:creator>
  <cp:keywords>PVDAQ 2107, dados, equipamentos, entrada, validação, guia técnico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