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Quadro de equações da seção 4</w:t>
      </w:r>
    </w:p>
    <w:p>
      <w:r>
        <w:t>Recurso solar e modelagem da conversão fotovoltaica   PPGER UFPB   19 de outubro de 2026</w:t>
      </w:r>
    </w:p>
    <w:p>
      <w:r>
        <w:t>Avaliação de desempenho perdas e validação da modelagem. Responsáveis: Júlia Ribeiro e Lucas Simão.</w:t>
      </w:r>
    </w:p>
    <w:p>
      <w:r>
        <w:t>Este inventário organiza 30 relações numeradas: 16 escritas nas células de método do notebook e 14 complementares explicitadas a partir do código. Usar a coluna de inserção para distribuir a redação e manter os IDs nas referências cruzadas.</w:t>
      </w:r>
    </w:p>
    <w:p>
      <w:r>
        <w:t>A coluna de aplicação distingue conversão principal, tratamento, avaliação, fundamentação, ilustrações e cenários. N e C indicam onde a relação foi registrada e não separam modelos físicos de cenários. Cada símbolo recebe descrição e unidade na própria linha; 1 indica adimensional.</w:t>
      </w:r>
    </w:p>
    <w:p>
      <w:r>
        <w:t>O modelo A converte POA medida e meteorologia local por atenuação assumida, Faiman, CEC de diodo único, perdas CC, inversor PVWatts e perdas CA. A transposição exploratória, a aproximação CC PVWatts, o ajuste empírico e o balanço BIPV são identificados em suas respectivas aplicações.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128"/>
        <w:gridCol w:w="1701"/>
        <w:gridCol w:w="1701"/>
        <w:gridCol w:w="2041"/>
      </w:tblGrid>
      <w:tr>
        <w:trPr>
          <w:tblHeader/>
          <w:cantSplit/>
        </w:trPr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Seção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Notebook N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Código C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Total de relações</w:t>
            </w:r>
          </w:p>
        </w:tc>
      </w:tr>
      <w:tr>
        <w:trPr>
          <w:cantSplit/>
        </w:trPr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4 Avaliação de desempenho perdas e validação da modelagem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16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14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30</w:t>
            </w:r>
          </w:p>
        </w:tc>
      </w:tr>
    </w:tbl>
    <w:p>
      <w:r>
        <w:t>A equação de Faiman possui um único ID E3.03 e local de inserção em 3.2. Em 2.1 fazer remissão a esse ID. No inventário geral os quatro quadros são reunidos para controle; cada Word de seção contém somente os itens que lhe pertencem.</w:t>
      </w:r>
    </w:p>
    <w:p>
      <w:pPr>
        <w:pStyle w:val="Heading1"/>
        <w:pageBreakBefore w:val="0"/>
      </w:pPr>
      <w:r>
        <w:t>Seção 4 Avaliação de desempenho perdas e validação da modelagem</w:t>
      </w:r>
    </w:p>
    <w:p>
      <w:pPr>
        <w:keepNext/>
      </w:pPr>
      <w:r>
        <w:t>Distribuição por subseção: 4.1 com 3 relações; 4.2 com 3 relações; 4.3 com 3 relações; 4.4 com 10 relações; 4.5 com 11 relações.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1"/>
        <w:gridCol w:w="5953"/>
        <w:gridCol w:w="4989"/>
        <w:gridCol w:w="2438"/>
      </w:tblGrid>
      <w:tr>
        <w:trPr>
          <w:tblHeader/>
          <w:cantSplit/>
        </w:trPr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ID e inserção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Equação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Função e símbolos com unidades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Registro e aplicação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E4.01</w:t>
              <w:br/>
              <w:t>4.1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Δ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j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6"/>
                    </w:rPr>
                    <m:t>1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Variação de energia entre estágios. </w:t>
            </w:r>
            <w:r>
              <w:rPr>
                <w:rFonts w:ascii="Times New Roman" w:hAnsi="Times New Roman"/>
                <w:color w:val="000000"/>
                <w:sz w:val="24"/>
              </w:rPr>
              <w:t>Quantificar a diferença calculada entre dois estágios consecutivos.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ΔEj: variação de energia entre estágios consecutivos [kWh]; Ej: energia do estágio j na máscara pareada [kWh]; Ej+1: energia do estágio seguinte na mesma máscara [kWh]; j: índice do estágio da cadeia de energia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R08, R11, R12,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E4.02</w:t>
              <w:br/>
              <w:t>4.1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  <w:sz w:val="26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6"/>
                    </w:rPr>
                    <m:t>​</m:t>
                  </m:r>
                </m:sup>
                <m:e>
                  <m:r>
                    <w:rPr>
                      <w:rFonts w:ascii="Cambria Math" w:hAnsi="Cambria Math"/>
                      <w:sz w:val="26"/>
                    </w:rPr>
                    <m:t>Δ</m:t>
                  </m:r>
                </m:e>
              </m:nary>
              <m:sSub>
                <m:e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f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l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Fechamento da cadeia de energia. </w:t>
            </w:r>
            <w:r>
              <w:rPr>
                <w:rFonts w:ascii="Times New Roman" w:hAnsi="Times New Roman"/>
                <w:color w:val="000000"/>
                <w:sz w:val="24"/>
              </w:rPr>
              <w:t>Conferir que a soma das variações recupera a diferença total.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ΔEj: variação de energia entre estágios consecutivos [kWh]; E1: energia do primeiro estágio; referência linear STC [kWh]; Efinal: energia CA final do último estágio [kWh]; j: índice do estágio da cadeia de energia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R08, R11, R12,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E4.03</w:t>
              <w:br/>
              <w:t>4.1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l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0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P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O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r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e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f</m:t>
                      </m:r>
                    </m:sub>
                  </m:sSub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linear de referência. </w:t>
            </w:r>
            <w:r>
              <w:rPr>
                <w:rFonts w:ascii="Times New Roman" w:hAnsi="Times New Roman"/>
                <w:color w:val="000000"/>
                <w:sz w:val="24"/>
              </w:rPr>
              <w:t>Definir a referência linear STC que inicia a cadeia energética.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Plin: potência linear de referência STC do sistema [W]; P0: capacidade declarada; 893000 W na expressão de potência [W]; GPOA: irradiância no plano; medida no modelo principal [W/m²]; Gref: irradiância STC de referência; 1000 [W/m²].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R08, R11, R12,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E4.04</w:t>
              <w:br/>
              <w:t>4.2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/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f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Produtividade de referência. </w:t>
            </w:r>
            <w:r>
              <w:rPr>
                <w:rFonts w:ascii="Times New Roman" w:hAnsi="Times New Roman"/>
                <w:color w:val="000000"/>
                <w:sz w:val="24"/>
              </w:rPr>
              <w:t>Expressar o recurso como horas equivalentes no plano e período definidos.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Yr: produtividade de referência ou HSP da janela [h]; HPOA: irradiação POA integrada na mesma janela [kWh/m²]; Gref: irradiância STC de referência; 1 [kW/m²].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R12, R30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E4.05</w:t>
              <w:br/>
              <w:t>4.2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D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/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0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Produtividade do arranjo. </w:t>
            </w:r>
            <w:r>
              <w:rPr>
                <w:rFonts w:ascii="Times New Roman" w:hAnsi="Times New Roman"/>
                <w:color w:val="000000"/>
                <w:sz w:val="24"/>
              </w:rPr>
              <w:t>Normalizar a energia CC pela capacidade declarada.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Ya: produtividade CC modelada do arranjo [kWh/kWp (h equivalentes)]; EDC: energia CC líquida modelada na janela [kWh]; P0: capacidade nominal declarada do sistema; 893 [kWp].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R12, R30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E4.06</w:t>
              <w:br/>
              <w:t>4.2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/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0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Produtividade final. </w:t>
            </w:r>
            <w:r>
              <w:rPr>
                <w:rFonts w:ascii="Times New Roman" w:hAnsi="Times New Roman"/>
                <w:color w:val="000000"/>
                <w:sz w:val="24"/>
              </w:rPr>
              <w:t>Normalizar a energia CA observada ou modelada pela capacidade.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Yf: produtividade CA observada ou modelada, identificada [kWh/kWp (h equivalentes)]; EAC: energia CA observada ou modelada, identificada [kWh]; P0: capacidade nominal declarada do sistema; 893 [kWp].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R12, R30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E4.07</w:t>
              <w:br/>
              <w:t>4.3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P</m:t>
              </m:r>
              <m:r>
                <w:rPr>
                  <w:rFonts w:ascii="Cambria Math" w:hAnsi="Cambria Math"/>
                  <w:sz w:val="26"/>
                </w:rPr>
                <m:t>R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/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r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Razão de desempenho. </w:t>
            </w:r>
            <w:r>
              <w:rPr>
                <w:rFonts w:ascii="Times New Roman" w:hAnsi="Times New Roman"/>
                <w:color w:val="000000"/>
                <w:sz w:val="24"/>
              </w:rPr>
              <w:t>Relacionar a produtividade final ao recurso da mesma janela.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PR: razão de desempenho na mesma janela [1 (adimensional)]; Yf: produtividade CA observada ou modelada, identificada [kWh/kWp (h equivalentes)]; Yr: produtividade de referência ou HSP da janela [h].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R12, R30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E4.08</w:t>
              <w:br/>
              <w:t>4.3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a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Perda de captura normalizada. </w:t>
            </w:r>
            <w:r>
              <w:rPr>
                <w:rFonts w:ascii="Times New Roman" w:hAnsi="Times New Roman"/>
                <w:color w:val="000000"/>
                <w:sz w:val="24"/>
              </w:rPr>
              <w:t>Comparar o recurso e a produtividade CC do modelo.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Lc: perda de captura normalizada do modelo [h equivalentes]; Yr: produtividade de referência ou HSP da janela [h]; Ya: produtividade CC modelada do arranjo [kWh/kWp (h equivalentes)].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R12, R30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E4.09</w:t>
              <w:br/>
              <w:t>4.3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f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Perda de sistema normalizada. </w:t>
            </w:r>
            <w:r>
              <w:rPr>
                <w:rFonts w:ascii="Times New Roman" w:hAnsi="Times New Roman"/>
                <w:color w:val="000000"/>
                <w:sz w:val="24"/>
              </w:rPr>
              <w:t>Comparar as produtividades CC e CA do modelo.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Ls: perda de sistema normalizada do modelo [h equivalentes]; Ya: produtividade CC modelada do arranjo [kWh/kWp (h equivalentes)]; Yf: produtividade CA observada ou modelada, identificada [kWh/kWp (h equivalentes)].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R12, R30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E4.10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Resíduo de potência. </w:t>
            </w:r>
            <w:r>
              <w:rPr>
                <w:rFonts w:ascii="Times New Roman" w:hAnsi="Times New Roman"/>
                <w:color w:val="000000"/>
                <w:sz w:val="24"/>
              </w:rPr>
              <w:t>Fixar o sinal do erro usado nas tabelas e gráficos.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ei: resíduo simulado menos observado no intervalo [kW]; pi: potência CA final simulada no intervalo [kW]; yi: potência CA observada no medidor no intervalo [kW];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R27,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E4.11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M</m:t>
              </m:r>
              <m:r>
                <w:rPr>
                  <w:rFonts w:ascii="Cambria Math" w:hAnsi="Cambria Math"/>
                  <w:sz w:val="26"/>
                </w:rPr>
                <m:t>B</m:t>
              </m:r>
              <m:r>
                <w:rPr>
                  <w:rFonts w:ascii="Cambria Math" w:hAnsi="Cambria Math"/>
                  <w:sz w:val="26"/>
                </w:rPr>
                <m:t>E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=</m:t>
                  </m:r>
                  <m:r>
                    <w:rPr>
                      <w:rFonts w:ascii="Cambria Math" w:hAnsi="Cambria Math"/>
                      <w:sz w:val="26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sup>
                <m:e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</m:sub>
                  </m:sSub>
                </m:e>
              </m:nary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Erro médio de viés. </w:t>
            </w:r>
            <w:r>
              <w:rPr>
                <w:rFonts w:ascii="Times New Roman" w:hAnsi="Times New Roman"/>
                <w:color w:val="000000"/>
                <w:sz w:val="24"/>
              </w:rPr>
              <w:t>Quantificar a tendência média de superestimação ou subestimação.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MBE: erro médio de viés [kW]; n: número de pares válidos usados na métrica [1 (contagem)]; ei: resíduo simulado menos observado no intervalo [kW];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R27,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E4.12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M</m:t>
              </m:r>
              <m:r>
                <w:rPr>
                  <w:rFonts w:ascii="Cambria Math" w:hAnsi="Cambria Math"/>
                  <w:sz w:val="26"/>
                </w:rPr>
                <m:t>A</m:t>
              </m:r>
              <m:r>
                <w:rPr>
                  <w:rFonts w:ascii="Cambria Math" w:hAnsi="Cambria Math"/>
                  <w:sz w:val="26"/>
                </w:rPr>
                <m:t>E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=</m:t>
                  </m:r>
                  <m:r>
                    <w:rPr>
                      <w:rFonts w:ascii="Cambria Math" w:hAnsi="Cambria Math"/>
                      <w:sz w:val="26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|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|</m:t>
                  </m:r>
                </m:e>
              </m:nary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Erro absoluto médio. </w:t>
            </w:r>
            <w:r>
              <w:rPr>
                <w:rFonts w:ascii="Times New Roman" w:hAnsi="Times New Roman"/>
                <w:color w:val="000000"/>
                <w:sz w:val="24"/>
              </w:rPr>
              <w:t>Quantificar a magnitude média do erro sem cancelamento de sinais.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MAE: erro absoluto médio [kW]; n: número de pares válidos usados na métrica [1 (contagem)]; ei: resíduo simulado menos observado no intervalo [kW];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R27,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E4.13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R</m:t>
              </m:r>
              <m:r>
                <w:rPr>
                  <w:rFonts w:ascii="Cambria Math" w:hAnsi="Cambria Math"/>
                  <w:sz w:val="26"/>
                </w:rPr>
                <m:t>M</m:t>
              </m:r>
              <m:r>
                <w:rPr>
                  <w:rFonts w:ascii="Cambria Math" w:hAnsi="Cambria Math"/>
                  <w:sz w:val="26"/>
                </w:rPr>
                <m:t>S</m:t>
              </m:r>
              <m:r>
                <w:rPr>
                  <w:rFonts w:ascii="Cambria Math" w:hAnsi="Cambria Math"/>
                  <w:sz w:val="26"/>
                </w:rPr>
                <m:t>E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  <w:sz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=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</w:rPr>
                        <m:t>n</m:t>
                      </m:r>
                    </m:sup>
                    <m:e>
                      <m:sSubSup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6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Raiz do erro quadrático médio. </w:t>
            </w:r>
            <w:r>
              <w:rPr>
                <w:rFonts w:ascii="Times New Roman" w:hAnsi="Times New Roman"/>
                <w:color w:val="000000"/>
                <w:sz w:val="24"/>
              </w:rPr>
              <w:t>Resumir a magnitude quadrática dos mesmos resíduos.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RMSE: raiz do erro quadrático médio [kW]; n: número de pares válidos usados na métrica [1 (contagem)]; ei: resíduo simulado menos observado no intervalo [kW];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R27,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E4.14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n</m:t>
              </m:r>
              <m:r>
                <w:rPr>
                  <w:rFonts w:ascii="Cambria Math" w:hAnsi="Cambria Math"/>
                  <w:sz w:val="26"/>
                </w:rPr>
                <m:t>M</m:t>
              </m:r>
              <m:r>
                <w:rPr>
                  <w:rFonts w:ascii="Cambria Math" w:hAnsi="Cambria Math"/>
                  <w:sz w:val="26"/>
                </w:rPr>
                <m:t>B</m:t>
              </m:r>
              <m:r>
                <w:rPr>
                  <w:rFonts w:ascii="Cambria Math" w:hAnsi="Cambria Math"/>
                  <w:sz w:val="26"/>
                </w:rPr>
                <m:t>E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100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6"/>
                    </w:rPr>
                    <m:t>M</m:t>
                  </m:r>
                  <m:r>
                    <w:rPr>
                      <w:rFonts w:ascii="Cambria Math" w:hAnsi="Cambria Math"/>
                      <w:sz w:val="26"/>
                    </w:rPr>
                    <m:t>B</m:t>
                  </m:r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num>
                <m:den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  <w:sz w:val="26"/>
                        </w:rPr>
                        <m:t>y</m:t>
                      </m:r>
                    </m:e>
                  </m:bar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Viés normalizado. </w:t>
            </w:r>
            <w:r>
              <w:rPr>
                <w:rFonts w:ascii="Times New Roman" w:hAnsi="Times New Roman"/>
                <w:color w:val="000000"/>
                <w:sz w:val="24"/>
              </w:rPr>
              <w:t>Expressar o viés em relação à média observada dos pares.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nMBE: viés normalizado pela média observada [%]; MBE: erro médio de viés [kW]; ȳ: média das potências CA observadas pareadas [kW].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R27,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E4.15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n</m:t>
              </m:r>
              <m:r>
                <w:rPr>
                  <w:rFonts w:ascii="Cambria Math" w:hAnsi="Cambria Math"/>
                  <w:sz w:val="26"/>
                </w:rPr>
                <m:t>R</m:t>
              </m:r>
              <m:r>
                <w:rPr>
                  <w:rFonts w:ascii="Cambria Math" w:hAnsi="Cambria Math"/>
                  <w:sz w:val="26"/>
                </w:rPr>
                <m:t>M</m:t>
              </m:r>
              <m:r>
                <w:rPr>
                  <w:rFonts w:ascii="Cambria Math" w:hAnsi="Cambria Math"/>
                  <w:sz w:val="26"/>
                </w:rPr>
                <m:t>S</m:t>
              </m:r>
              <m:r>
                <w:rPr>
                  <w:rFonts w:ascii="Cambria Math" w:hAnsi="Cambria Math"/>
                  <w:sz w:val="26"/>
                </w:rPr>
                <m:t>E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100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6"/>
                    </w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t>M</m:t>
                  </m:r>
                  <m:r>
                    <w:rPr>
                      <w:rFonts w:ascii="Cambria Math" w:hAnsi="Cambria Math"/>
                      <w:sz w:val="26"/>
                    </w:rPr>
                    <m:t>S</m:t>
                  </m:r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num>
                <m:den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  <w:sz w:val="26"/>
                        </w:rPr>
                        <m:t>y</m:t>
                      </m:r>
                    </m:e>
                  </m:bar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Erro quadrático normalizado. </w:t>
            </w:r>
            <w:r>
              <w:rPr>
                <w:rFonts w:ascii="Times New Roman" w:hAnsi="Times New Roman"/>
                <w:color w:val="000000"/>
                <w:sz w:val="24"/>
              </w:rPr>
              <w:t>Expressar o RMSE em relação à média observada dos pares.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nRMSE: RMSE normalizado pela média observada [%]; RMSE: raiz do erro quadrático médio [kW]; ȳ: média das potências CA observadas pareadas [kW].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R27,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E4.16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r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</w:rPr>
                        <m:t>​</m:t>
                      </m:r>
                    </m: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6"/>
                            </w:rPr>
                            <m:rPr>
                              <m:sty m:val="p"/>
                            </m:rPr>
                            <m:t>−</m:t>
                          </m:r>
                          <m:bar>
                            <m:barPr>
                              <m:pos m:val="top"/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</w:rPr>
                                <m:t>y</m:t>
                              </m:r>
                            </m:e>
                          </m:bar>
                        </m:e>
                      </m:d>
                    </m:e>
                  </m:nary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p</m:t>
                          </m:r>
                        </m:e>
                      </m:bar>
                    </m:e>
                  </m:d>
                </m:num>
                <m:den>
                  <m:rad>
                    <m:radPr>
                      <m:degHide m:val="on"/>
                    </m:radPr>
                    <m:deg/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6"/>
                            </w:rPr>
                            <m:t>​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6"/>
                                    </w:rPr>
                                    <m:rPr>
                                      <m:sty m:val="p"/>
                                    </m:rPr>
                                    <m:t>−</m:t>
                                  </m:r>
                                  <m:bar>
                                    <m:barPr>
                                      <m:pos m:val="top"/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</w:rPr>
                                        <m:t>y</m:t>
                                      </m:r>
                                    </m:e>
                                  </m:ba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6"/>
                            </w:rPr>
                            <m:t>​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6"/>
                                    </w:rPr>
                                    <m:rPr>
                                      <m:sty m:val="p"/>
                                    </m:rPr>
                                    <m:t>−</m:t>
                                  </m:r>
                                  <m:bar>
                                    <m:barPr>
                                      <m:pos m:val="top"/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</w:rPr>
                                        <m:t>p</m:t>
                                      </m:r>
                                    </m:e>
                                  </m:ba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Correlação de Pearson. </w:t>
            </w:r>
            <w:r>
              <w:rPr>
                <w:rFonts w:ascii="Times New Roman" w:hAnsi="Times New Roman"/>
                <w:color w:val="000000"/>
                <w:sz w:val="24"/>
              </w:rPr>
              <w:t>Quantificar a associação linear entre observações e simulações.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r: coeficiente de correlação de Pearson [1 (adimensional)]; yi: potência CA observada no medidor no intervalo [kW]; ȳ: média das potências CA observadas pareadas [kW]; pi: potência CA final simulada no intervalo [kW]; p̄: média das potências CA simuladas pareadas [kW];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R27,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E4.17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p>
                <m:e>
                  <m:r>
                    <w:rPr>
                      <w:rFonts w:ascii="Cambria Math" w:hAnsi="Cambria Math"/>
                      <w:sz w:val="26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1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∑</m:t>
                  </m:r>
                  <m:sSubSup>
                    <m:e>
                      <m:r>
                        <w:rPr>
                          <w:rFonts w:ascii="Cambria Math" w:hAnsi="Cambria Math"/>
                          <w:sz w:val="26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∑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6"/>
                            </w:rPr>
                            <m:rPr>
                              <m:sty m:val="p"/>
                            </m:rPr>
                            <m:t>−</m:t>
                          </m:r>
                          <m:bar>
                            <m:barPr>
                              <m:pos m:val="top"/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</w:rPr>
                                <m:t>y</m:t>
                              </m:r>
                            </m:e>
                          </m:ba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6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Coeficiente de determinação. </w:t>
            </w:r>
            <w:r>
              <w:rPr>
                <w:rFonts w:ascii="Times New Roman" w:hAnsi="Times New Roman"/>
                <w:color w:val="000000"/>
                <w:sz w:val="24"/>
              </w:rPr>
              <w:t>Comparar o erro quadrático à dispersão das observações.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R²: coeficiente de determinação definido por 1−SSE/SST [1 (adimensional)]; ei: resíduo simulado menos observado no intervalo [kW]; yi: potência CA observada no medidor no intervalo [kW]; ȳ: média das potências CA observadas pareadas [kW];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R27,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E4.18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k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∈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a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b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r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i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l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</w:rPr>
                        <m:t>​</m:t>
                      </m:r>
                    </m:sup>
                    <m:e>
                      <m:sSub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∈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a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b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r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i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l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</w:rPr>
                        <m:t>​</m:t>
                      </m:r>
                    </m:sup>
                    <m:e>
                      <m:sSubSup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6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Fator empírico de abril. </w:t>
            </w:r>
            <w:r>
              <w:rPr>
                <w:rFonts w:ascii="Times New Roman" w:hAnsi="Times New Roman"/>
                <w:color w:val="000000"/>
                <w:sz w:val="24"/>
              </w:rPr>
              <w:t>Ajustar um fator multiplicativo secundário apenas com os pares de abril.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k: fator empírico ajustado somente com abril [1 (adimensional)]; pi: potência CA final simulada no intervalo [kW]; yi: potência CA observada no medidor no intervalo [kW];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Ajuste empírico separado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E4.19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Sup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m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</m:sup>
              </m:sSubSup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k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com ajuste empírico. </w:t>
            </w:r>
            <w:r>
              <w:rPr>
                <w:rFonts w:ascii="Times New Roman" w:hAnsi="Times New Roman"/>
                <w:color w:val="000000"/>
                <w:sz w:val="24"/>
              </w:rPr>
              <w:t>Aplicar o fator de abril e reportar os resultados separadamente do modelo físico.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pi,emp: potência simulada após fator empírico de abril [kW]; k: fator empírico ajustado somente com abril [1 (adimensional)]; pi: potência CA final simulada no intervalo [kW];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Ajuste empírico separado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E4.20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α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1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Absortância solar. </w:t>
            </w:r>
            <w:r>
              <w:rPr>
                <w:rFonts w:ascii="Times New Roman" w:hAnsi="Times New Roman"/>
                <w:color w:val="000000"/>
                <w:sz w:val="24"/>
              </w:rPr>
              <w:t>Fechar a partição óptica do exemplo semitransparente.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α: absortância solar assumida do elemento BIPV [1 (adimensional)]; ρs: refletância solar assumida do elemento BIPV [1 (adimensional)]; τs: transmitância solar assumida, distinta da visível [1 (adimensional)].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E4.21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G</m:t>
              </m:r>
              <m:r>
                <w:rPr>
                  <w:rFonts w:ascii="Cambria Math" w:hAnsi="Cambria Math"/>
                  <w:sz w:val="26"/>
                </w:rPr>
                <m:t>A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solar incidente. </w:t>
            </w:r>
            <w:r>
              <w:rPr>
                <w:rFonts w:ascii="Times New Roman" w:hAnsi="Times New Roman"/>
                <w:color w:val="000000"/>
                <w:sz w:val="24"/>
              </w:rPr>
              <w:t>Converter a irradiância do plano em potência incidente na área.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Pinc: potência solar incidente no elemento BIPV [W]; G: irradiância transposta no plano BIPV hipotético [W/m²]; A: área do elemento BIPV assumido; 100 [m²].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E4.22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f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t>G</m:t>
              </m:r>
              <m:r>
                <w:rPr>
                  <w:rFonts w:ascii="Cambria Math" w:hAnsi="Cambria Math"/>
                  <w:sz w:val="26"/>
                </w:rPr>
                <m:t>A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solar refletida. </w:t>
            </w:r>
            <w:r>
              <w:rPr>
                <w:rFonts w:ascii="Times New Roman" w:hAnsi="Times New Roman"/>
                <w:color w:val="000000"/>
                <w:sz w:val="24"/>
              </w:rPr>
              <w:t>Quantificar a fração refletida da potência incidente.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Pref: potência solar refletida pelo elemento BIPV [W]; ρs: refletância solar assumida do elemento BIPV [1 (adimensional)]; G: irradiância transposta no plano BIPV hipotético [W/m²]; A: área do elemento BIPV assumido; 100 [m²].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E4.23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t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t>G</m:t>
              </m:r>
              <m:r>
                <w:rPr>
                  <w:rFonts w:ascii="Cambria Math" w:hAnsi="Cambria Math"/>
                  <w:sz w:val="26"/>
                </w:rPr>
                <m:t>A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solar transmitida. </w:t>
            </w:r>
            <w:r>
              <w:rPr>
                <w:rFonts w:ascii="Times New Roman" w:hAnsi="Times New Roman"/>
                <w:color w:val="000000"/>
                <w:sz w:val="24"/>
              </w:rPr>
              <w:t>Quantificar a parcela solar que atravessa o elemento.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Ptrans: potência solar transmitida pelo elemento BIPV [W]; τs: transmitância solar assumida, distinta da visível [1 (adimensional)]; G: irradiância transposta no plano BIPV hipotético [W/m²]; A: área do elemento BIPV assumido; 100 [m²].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E4.24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η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min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{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max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[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t>1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6"/>
                    </w:rPr>
                    <m:t>γ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rPr>
                              <m:sty m:val="p"/>
                            </m:rPr>
                            <m:t>o</m:t>
                          </m:r>
                          <m:r>
                            <w:rPr>
                              <w:rFonts w:ascii="Cambria Math" w:hAnsi="Cambria Math"/>
                              <w:sz w:val="26"/>
                            </w:rPr>
                            <m:rPr>
                              <m:sty m:val="p"/>
                            </m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−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t>25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,</m:t>
              </m:r>
              <m:r>
                <w:rPr>
                  <w:rFonts w:ascii="Cambria Math" w:hAnsi="Cambria Math"/>
                  <w:sz w:val="26"/>
                </w:rPr>
                <m:t>0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]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,</m:t>
              </m:r>
              <m:r>
                <w:rPr>
                  <w:rFonts w:ascii="Cambria Math" w:hAnsi="Cambria Math"/>
                  <w:sz w:val="26"/>
                </w:rPr>
                <m:t>α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}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Eficiência elétrica do exemplo BIPV. </w:t>
            </w:r>
            <w:r>
              <w:rPr>
                <w:rFonts w:ascii="Times New Roman" w:hAnsi="Times New Roman"/>
                <w:color w:val="000000"/>
                <w:sz w:val="24"/>
              </w:rPr>
              <w:t>Corrigir a eficiência assumida pela temperatura e limitar a conversão à absorção.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η: eficiência elétrica instantânea do balanço BIPV [1 (adimensional)]; ηref: eficiência BIPV assumida a 25 °C; 0,10 [1 (adimensional)]; γ: coeficiente térmico BIPV assumido; −0,0044 [°C⁻¹]; Top: temperatura de Faiman do cenário BIPV [°C]; α: absortância solar assumida do elemento BIPV [1 (adimensional)].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E4.25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η</m:t>
              </m:r>
              <m:r>
                <w:rPr>
                  <w:rFonts w:ascii="Cambria Math" w:hAnsi="Cambria Math"/>
                  <w:sz w:val="26"/>
                </w:rPr>
                <m:t>G</m:t>
              </m:r>
              <m:r>
                <w:rPr>
                  <w:rFonts w:ascii="Cambria Math" w:hAnsi="Cambria Math"/>
                  <w:sz w:val="26"/>
                </w:rPr>
                <m:t>A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elétrica do elemento BIPV. </w:t>
            </w:r>
            <w:r>
              <w:rPr>
                <w:rFonts w:ascii="Times New Roman" w:hAnsi="Times New Roman"/>
                <w:color w:val="000000"/>
                <w:sz w:val="24"/>
              </w:rPr>
              <w:t>Separar a parcela convertida em eletricidade no balanço solar.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Pe: potência elétrica CC do elemento BIPV [W]; η: eficiência elétrica instantânea do balanço BIPV [1 (adimensional)]; G: irradiância transposta no plano BIPV hipotético [W/m²]; A: área do elemento BIPV assumido; 100 [m²].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E4.26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b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t>α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6"/>
                    </w:rPr>
                    <m:t>η</m:t>
                  </m:r>
                </m:e>
              </m:d>
              <m:r>
                <w:rPr>
                  <w:rFonts w:ascii="Cambria Math" w:hAnsi="Cambria Math"/>
                  <w:sz w:val="26"/>
                </w:rPr>
                <m:t>G</m:t>
              </m:r>
              <m:r>
                <w:rPr>
                  <w:rFonts w:ascii="Cambria Math" w:hAnsi="Cambria Math"/>
                  <w:sz w:val="26"/>
                </w:rPr>
                <m:t>A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Calor absorvido após conversão elétrica. </w:t>
            </w:r>
            <w:r>
              <w:rPr>
                <w:rFonts w:ascii="Times New Roman" w:hAnsi="Times New Roman"/>
                <w:color w:val="000000"/>
                <w:sz w:val="24"/>
              </w:rPr>
              <w:t>Calcular a parcela absorvida que permanece térmica.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Qabs: potência térmica absorvida após conversão elétrica [W]; α: absortância solar assumida do elemento BIPV [1 (adimensional)]; η: eficiência elétrica instantânea do balanço BIPV [1 (adimensional)]; G: irradiância transposta no plano BIPV hipotético [W/m²]; A: área do elemento BIPV assumido; 100 [m²].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E4.27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u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t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t>1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i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n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hAnsi="Cambria Math"/>
                      <w:sz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b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Calor absorvido dirigido ao exterior. </w:t>
            </w:r>
            <w:r>
              <w:rPr>
                <w:rFonts w:ascii="Times New Roman" w:hAnsi="Times New Roman"/>
                <w:color w:val="000000"/>
                <w:sz w:val="24"/>
              </w:rPr>
              <w:t>Separar a fração do calor absorvido dirigida ao exterior.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Qout: potência térmica absorvida dirigida ao exterior [W]; fin: fração do calor absorvido dirigida ao interior [1 (adimensional)]; Qabs: potência térmica absorvida após conversão elétrica [W].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E4.28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t>G</m:t>
              </m:r>
              <m:r>
                <w:rPr>
                  <w:rFonts w:ascii="Cambria Math" w:hAnsi="Cambria Math"/>
                  <w:sz w:val="26"/>
                </w:rPr>
                <m:t>A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b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Ganho solar para o interior. </w:t>
            </w:r>
            <w:r>
              <w:rPr>
                <w:rFonts w:ascii="Times New Roman" w:hAnsi="Times New Roman"/>
                <w:color w:val="000000"/>
                <w:sz w:val="24"/>
              </w:rPr>
              <w:t>Somar transmissão solar e fração térmica dirigida ao interior.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Qin: ganho solar interior; transmissão mais calor absorvido [W]; τs: transmitância solar assumida, distinta da visível [1 (adimensional)]; G: irradiância transposta no plano BIPV hipotético [W/m²]; A: área do elemento BIPV assumido; 100 [m²]; fin: fração do calor absorvido dirigida ao interior [1 (adimensional)]; Qabs: potência térmica absorvida após conversão elétrica [W].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E4.29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S</m:t>
              </m:r>
              <m:r>
                <w:rPr>
                  <w:rFonts w:ascii="Cambria Math" w:hAnsi="Cambria Math"/>
                  <w:sz w:val="26"/>
                </w:rPr>
                <m:t>H</m:t>
              </m:r>
              <m:r>
                <w:rPr>
                  <w:rFonts w:ascii="Cambria Math" w:hAnsi="Cambria Math"/>
                  <w:sz w:val="26"/>
                </w:rPr>
                <m:t>G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q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t>α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6"/>
                    </w:rPr>
                    <m:t>η</m:t>
                  </m:r>
                </m:e>
              </m:d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SHGC equivalente simplificado. </w:t>
            </w:r>
            <w:r>
              <w:rPr>
                <w:rFonts w:ascii="Times New Roman" w:hAnsi="Times New Roman"/>
                <w:color w:val="000000"/>
                <w:sz w:val="24"/>
              </w:rPr>
              <w:t>Normalizar o ganho solar interior pela potência incidente.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SHGCeq: coeficiente equivalente do ganho solar simplificado [1 (adimensional)]; τs: transmitância solar assumida, distinta da visível [1 (adimensional)]; fin: fração do calor absorvido dirigida ao interior [1 (adimensional)]; α: absortância solar assumida do elemento BIPV [1 (adimensional)]; η: eficiência elétrica instantânea do balanço BIPV [1 (adimensional)].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E4.30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f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t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b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u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Conservação do balanço solar. </w:t>
            </w:r>
            <w:r>
              <w:rPr>
                <w:rFonts w:ascii="Times New Roman" w:hAnsi="Times New Roman"/>
                <w:color w:val="000000"/>
                <w:sz w:val="24"/>
              </w:rPr>
              <w:t>Conferir a conservação das parcelas ópticas elétricas e térmicas.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Pinc: potência solar incidente no elemento BIPV [W]; Pref: potência solar refletida pelo elemento BIPV [W]; Ptrans: potência solar transmitida pelo elemento BIPV [W]; Pe: potência elétrica CC do elemento BIPV [W]; fin: fração do calor absorvido dirigida ao interior [1 (adimensional)]; Qabs: potência térmica absorvida após conversão elétrica [W]; Qout: potência térmica absorvida dirigida ao exterior [W].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</w:tbl>
    <w:p>
      <w:r>
        <w:t>As perdas por estágio são calculadas e não identificam causas reais isoladamente. O PR exige a mesma janela de energia e irradiação. O fator empírico usa apenas abril. O balanço semitransparente BIPV é hipotético e seu SHGC equivalente não constitui certificação.</w:t>
      </w:r>
    </w:p>
    <w:p>
      <w:pPr>
        <w:pStyle w:val="Heading1"/>
      </w:pPr>
      <w:r>
        <w:t>Convenções para a redação</w:t>
      </w:r>
    </w:p>
    <w:p>
      <w:r>
        <w:t>Usar o mesmo plano, intervalo e máscara temporal nas comparações. G designa irradiância; H irradiação; P potência e E energia. Cada linha define todas as variáveis da relação. i indexa intervalos ou observações; j indexa perdas ou estágios conforme a linha. As operações soma, produto, média, valor absoluto, mínimo e máximo não são novas variáveis.</w:t>
      </w:r>
    </w:p>
    <w:p>
      <w:r>
        <w:t>Em E1.04, G em W/m² e Δt em h produzem H em Wh/m²; o código divide por 1000 para kWh/m². Em E3.18, P em kW produz E em kWh; o código converte suas séries W por /1000.</w:t>
      </w:r>
    </w:p>
    <w:p>
      <w:r>
        <w:t>Em E3.06, 1000 representa Gref=1000 W/m² e 25 representa 25 °C. Em E4.24, 25 também representa 25 °C. Os coeficientes da curva E3.14 são adimensionais.</w:t>
      </w:r>
    </w:p>
    <w:p>
      <w:r>
        <w:t>P0 é 893000 W em E4.03 e 893 kWp nos indicadores. Gref é 1000 W/m² na potência e 1 kW/m² na produtividade de referência.</w:t>
      </w:r>
    </w:p>
    <w:p>
      <w:r>
        <w:t>ηref=0,9637 é referência da curva do inversor em E3.14; ηref=0,10 é hipótese de eficiência BIPV em E4.24. γ vem do módulo CEC em E3.06 e é assumido −0,0044 °C⁻¹ em E4.24.</w:t>
      </w:r>
    </w:p>
    <w:p>
      <w:r>
        <w:t>Qabs, Qin e Qout no balanço BIPV designam potências em W. A integração dessas séries fornece energia; Q não representa joules nessas equações.</w:t>
      </w:r>
    </w:p>
    <w:p>
      <w:r>
        <w:t>Nas métricas locais de potência, p, y e e estão em kW; metrics é genérica e conserva a unidade das séries recebidas. O ajuste k é calculado em W no código e é invariável sob conversão comum para kW.</w:t>
      </w:r>
    </w:p>
    <w:p>
      <w:r>
        <w:t>Cada linha conta uma relação. Constantes e parâmetros não entram na contagem. Os itens N são o núcleo editorial já escrito e os C detalham o método; selecionar a inclusão conforme a discussão e o espaço. A numeração final do capítulo será definida na consolidação.</w:t>
      </w:r>
    </w:p>
    <w:p>
      <w:r>
        <w:t>O caso comum é PVDAQ 2107, abril a junho de 2024. As 4401 observações diurnas pareadas não representam todos os intervalos do trimestre. A potência nominal declarada é 893 kWp. O exemplo de associação elétrica e o balanço BIPV são hipóteses identificadas.</w:t>
      </w:r>
    </w:p>
    <w:p>
      <w:pPr>
        <w:pStyle w:val="Heading1"/>
      </w:pPr>
      <w:r>
        <w:t>Origem identificável das equações</w:t>
      </w:r>
    </w:p>
    <w:p>
      <w:r>
        <w:t>src/projeto_fv.py::performance  E4.01, E4.02, E4.04, E4.05, E4.06, E4.07, E4.08, E4.09</w:t>
      </w:r>
    </w:p>
    <w:p>
      <w:r>
        <w:t>src/projeto_fv.py::simulate  E4.03</w:t>
      </w:r>
    </w:p>
    <w:p>
      <w:r>
        <w:t>src/projeto_fv.py::metrics  E4.10, E4.11, E4.12, E4.13, E4.14, E4.15, E4.16, E4.17</w:t>
      </w:r>
    </w:p>
    <w:p>
      <w:r>
        <w:t>src/projeto_fv.py::run_models  E4.18, E4.19</w:t>
      </w:r>
    </w:p>
    <w:p>
      <w:r>
        <w:t>src/projeto_fv.py::bipv_scenario  E4.20, E4.21, E4.22, E4.23, E4.24, E4.25, E4.26, E4.27, E4.28, E4.29, E4.30</w:t>
      </w:r>
    </w:p>
    <w:p>
      <w:r>
        <w:t>As fórmulas N foram conferidas nas 19 subseções do notebook e na matriz da revisão 17ffe0eeb7d7. Os algoritmos de SPA, CEC e Perez–Driesse, as conversões e os filtros estão no código. Citar as fontes R e explicitar as hipóteses na redação.</w:t>
      </w:r>
    </w:p>
    <w:p>
      <w:r>
        <w:t>Fontes e referências metodológicas R: https://github.com/samuelasroma-byte/SPGER0046_Energias_Renovaveis/blob/main/references/Referencias_do_Projeto.md</w:t>
      </w:r>
    </w:p>
    <w:p>
      <w:r>
        <w:t>Inventário legível com localização e links: https://github.com/samuelasroma-byte/SPGER0046_Energias_Renovaveis/blob/main/docs/equacoes/README.md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t xml:space="preserve">SPGER0046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Quadro de equações da seção 4</dc:title>
  <dc:subject>Inventário editorial de equações por seção e subseção</dc:subject>
  <dc:creator>Equipe SPGER0046 PPGER UFPB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