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Plano da equipe para construir o capítulo SPGER0046</w:t>
      </w:r>
    </w:p>
    <w:p>
      <w:r>
        <w:rPr>
          <w:b w:val="0"/>
        </w:rPr>
        <w:t>Recurso solar e modelagem da conversão fotovoltaica</w:t>
      </w:r>
    </w:p>
    <w:p>
      <w:r>
        <w:rPr>
          <w:b w:val="0"/>
        </w:rPr>
        <w:t>Conferência em 18 de outubro de 2026</w:t>
      </w:r>
    </w:p>
    <w:p>
      <w:r>
        <w:rPr>
          <w:b/>
        </w:rPr>
        <w:t>Podemos começar com o material disponível. A proposta é usar uma cadeia comum de dados e modelos, com quatro frentes de redação. Drive para biblioteca e escrita compartilhada; GitHub para código, versões e resultados selecionados.</w:t>
      </w:r>
    </w:p>
    <w:p>
      <w:pPr>
        <w:pStyle w:val="Heading1"/>
      </w:pPr>
      <w:r>
        <w:t>Acervo ativo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2160"/>
      </w:tblGrid>
      <w:tr>
        <w:trPr>
          <w:cantSplit/>
          <w:tblHeader/>
        </w:trPr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33750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23"/>
              </w:rPr>
              <w:t>Categoria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33750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3"/>
              </w:rPr>
              <w:t>Documentos distintos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Arial" w:hAnsi="Arial"/>
                <w:b w:val="0"/>
                <w:color w:val="000000"/>
                <w:sz w:val="23"/>
              </w:rPr>
              <w:t>Artigos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3"/>
              </w:rPr>
              <w:t>63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EF2F5"/>
          </w:tcPr>
          <w:p>
            <w:pPr>
              <w:spacing w:after="40" w:line="252" w:lineRule="auto"/>
            </w:pPr>
            <w:r>
              <w:rPr>
                <w:rFonts w:ascii="Arial" w:hAnsi="Arial"/>
                <w:b w:val="0"/>
                <w:color w:val="000000"/>
                <w:sz w:val="23"/>
              </w:rPr>
              <w:t>Livros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EF2F5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3"/>
              </w:rPr>
              <w:t>9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Arial" w:hAnsi="Arial"/>
                <w:b w:val="0"/>
                <w:color w:val="000000"/>
                <w:sz w:val="23"/>
              </w:rPr>
              <w:t>Dissertações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3"/>
              </w:rPr>
              <w:t>3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EF2F5"/>
          </w:tcPr>
          <w:p>
            <w:pPr>
              <w:spacing w:after="40" w:line="252" w:lineRule="auto"/>
            </w:pPr>
            <w:r>
              <w:rPr>
                <w:rFonts w:ascii="Arial" w:hAnsi="Arial"/>
                <w:b w:val="0"/>
                <w:color w:val="000000"/>
                <w:sz w:val="23"/>
              </w:rPr>
              <w:t>Teses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EF2F5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3"/>
              </w:rPr>
              <w:t>3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Arial" w:hAnsi="Arial"/>
                <w:b w:val="0"/>
                <w:color w:val="000000"/>
                <w:sz w:val="23"/>
              </w:rPr>
              <w:t>Relatórios e manuais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3"/>
              </w:rPr>
              <w:t>12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EF2F5"/>
          </w:tcPr>
          <w:p>
            <w:pPr>
              <w:spacing w:after="40" w:line="252" w:lineRule="auto"/>
            </w:pPr>
            <w:r>
              <w:rPr>
                <w:rFonts w:ascii="Arial" w:hAnsi="Arial"/>
                <w:b w:val="0"/>
                <w:color w:val="000000"/>
                <w:sz w:val="23"/>
              </w:rPr>
              <w:t>TCC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EF2F5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3"/>
              </w:rPr>
              <w:t>1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Arial" w:hAnsi="Arial"/>
                <w:b w:val="0"/>
                <w:color w:val="000000"/>
                <w:sz w:val="23"/>
              </w:rPr>
              <w:t>Normas técnicas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3"/>
              </w:rPr>
              <w:t>0</w:t>
            </w:r>
          </w:p>
        </w:tc>
      </w:tr>
      <w:tr>
        <w:trPr>
          <w:cantSplit/>
        </w:trPr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EF2F5"/>
          </w:tcPr>
          <w:p>
            <w:pPr>
              <w:spacing w:after="40" w:line="252" w:lineRule="auto"/>
            </w:pPr>
            <w:r>
              <w:rPr>
                <w:rFonts w:ascii="Arial" w:hAnsi="Arial"/>
                <w:b w:val="0"/>
                <w:color w:val="000000"/>
                <w:sz w:val="23"/>
              </w:rPr>
              <w:t>Total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EF2F5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3"/>
              </w:rPr>
              <w:t>91</w:t>
            </w:r>
          </w:p>
        </w:tc>
      </w:tr>
    </w:tbl>
    <w:p>
      <w:pPr>
        <w:spacing w:after="40"/>
      </w:pPr>
    </w:p>
    <w:p>
      <w:r>
        <w:rPr>
          <w:b w:val="0"/>
        </w:rPr>
        <w:t>Há 160 cópias distribuídas entre as quatro seções. As 28 pastas foram conferidas: nenhum arquivo esperado ausente e nenhum extra. A contagem exclui os PDFs retirados, dados e saídas do pipeline. Os nove livros incluem edições diferentes; contamos documentos catalogados.</w:t>
      </w:r>
    </w:p>
    <w:p>
      <w:r>
        <w:rPr>
          <w:b w:val="0"/>
        </w:rPr>
        <w:t>Os dois PDFs retirados não estão na lixeira. Os originais e sete cópias permanecem na pasta separada abaixo, na raiz do Drive. São Kalogirou 2009 sem folhas iniciais e Luque e Hegedus 2011 parcial.</w:t>
      </w:r>
    </w:p>
    <w:p>
      <w:hyperlink r:id="rId9">
        <w:r>
          <w:rPr>
            <w:color w:val="005C86"/>
            <w:u w:val="single"/>
          </w:rPr>
          <w:t>Abrir os materiais retirados</w:t>
        </w:r>
      </w:hyperlink>
    </w:p>
    <w:p>
      <w:r>
        <w:br w:type="page"/>
      </w:r>
    </w:p>
    <w:p>
      <w:pPr>
        <w:pStyle w:val="Heading1"/>
      </w:pPr>
      <w:r>
        <w:t>Dados e resultados que já existem</w:t>
      </w:r>
    </w:p>
    <w:p>
      <w:r>
        <w:rPr>
          <w:b w:val="0"/>
        </w:rPr>
        <w:t>O caso principal é Farm Solar Array, PVDAQ 2107, em Arbuckle, Califórnia. A configuração v1.2.2 usa de 1º de abril a 30 de junho de 2024, no horário local America/Los_Angeles. São 91 dias; os índices exportados usam UTC. O ano 2026 das fontes gráficas é o ano da elaboração.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  <w:tblHeader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33750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23"/>
              </w:rPr>
              <w:t>Etapa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33750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3"/>
              </w:rPr>
              <w:t>O que existe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Arial" w:hAnsi="Arial"/>
                <w:b w:val="0"/>
                <w:color w:val="000000"/>
                <w:sz w:val="23"/>
              </w:rPr>
              <w:t>Entradas medidas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3"/>
              </w:rPr>
              <w:t>POA no plano dos módulos, temperatura do ar e vento locais.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EF2F5"/>
          </w:tcPr>
          <w:p>
            <w:pPr>
              <w:spacing w:after="40" w:line="252" w:lineRule="auto"/>
            </w:pPr>
            <w:r>
              <w:rPr>
                <w:rFonts w:ascii="Arial" w:hAnsi="Arial"/>
                <w:b w:val="0"/>
                <w:color w:val="000000"/>
                <w:sz w:val="23"/>
              </w:rPr>
              <w:t>Cálculos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EF2F5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3"/>
              </w:rPr>
              <w:t>Temperatura operacional, módulo, arranjo CC, inversor, potência CA e energia.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Arial" w:hAnsi="Arial"/>
                <w:b w:val="0"/>
                <w:color w:val="000000"/>
                <w:sz w:val="23"/>
              </w:rPr>
              <w:t>Comparação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3"/>
              </w:rPr>
              <w:t>Potência CA simulada versus medidor CA da própria instalação.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EF2F5"/>
          </w:tcPr>
          <w:p>
            <w:pPr>
              <w:spacing w:after="40" w:line="252" w:lineRule="auto"/>
            </w:pPr>
            <w:r>
              <w:rPr>
                <w:rFonts w:ascii="Arial" w:hAnsi="Arial"/>
                <w:b w:val="0"/>
                <w:color w:val="000000"/>
                <w:sz w:val="23"/>
              </w:rPr>
              <w:t>Amostra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EF2F5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3"/>
              </w:rPr>
              <w:t>4.401 pares diurnos entre 4.421 elegíveis; 99,55% de disponibilidade conjunta.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Arial" w:hAnsi="Arial"/>
                <w:b w:val="0"/>
                <w:color w:val="000000"/>
                <w:sz w:val="23"/>
              </w:rPr>
              <w:t>Exploração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3"/>
              </w:rPr>
              <w:t>Componentes GHI/DNI/DHI reconstruídas e cenários de albedo, sujidade e BIPV.</w:t>
            </w:r>
          </w:p>
        </w:tc>
      </w:tr>
    </w:tbl>
    <w:p>
      <w:pPr>
        <w:spacing w:after="40"/>
      </w:pPr>
    </w:p>
    <w:p>
      <w:r>
        <w:rPr>
          <w:b w:val="0"/>
        </w:rPr>
        <w:t>As 25 células de código têm execução registrada e não exibem erros nas saídas salvas. Conferimos código, configuração e datas dos brutos; não reexecutamos a simulação nesta tarefa.</w:t>
      </w:r>
    </w:p>
    <w:p>
      <w:r>
        <w:rPr>
          <w:b w:val="0"/>
        </w:rPr>
        <w:t>O modelo físico salvo tem RMSE de 61,59 kW e viés de +31,77 kW. O ajuste empírico usa somente abril; maio e junho são avaliações posteriores. Manter resultados físicos e ajustados separados.</w:t>
      </w:r>
    </w:p>
    <w:p>
      <w:r>
        <w:rPr>
          <w:b w:val="0"/>
        </w:rPr>
        <w:t>Não há temperatura de célula ou GHI/DNI/DHI locais para validar isoladamente essas etapas. BIPV usa 1.037 horas elegíveis e propriedades hipotéticas, sem fachada medida. NASA POWER fica fora da cadeia principal.</w:t>
      </w:r>
    </w:p>
    <w:p>
      <w:r>
        <w:rPr>
          <w:b w:val="0"/>
        </w:rPr>
        <w:t>Os dados IFES de dezembro de 2024 a julho de 2025 estão em outra pasta e têm pendências documentadas. Eles não geram os gráficos atuais. Recomenda-se mantê-los como alternativa futura.</w:t>
      </w:r>
    </w:p>
    <w:p>
      <w:hyperlink r:id="rId10">
        <w:r>
          <w:rPr>
            <w:color w:val="005C86"/>
            <w:u w:val="single"/>
          </w:rPr>
          <w:t>Abrir o notebook principal executado</w:t>
        </w:r>
      </w:hyperlink>
    </w:p>
    <w:p>
      <w:r>
        <w:br w:type="page"/>
      </w:r>
    </w:p>
    <w:p>
      <w:pPr>
        <w:pStyle w:val="Heading1"/>
      </w:pPr>
      <w:r>
        <w:t>Divisão das quatro seções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5760"/>
      </w:tblGrid>
      <w:tr>
        <w:trPr>
          <w:cantSplit/>
          <w:tblHeader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33750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23"/>
              </w:rPr>
              <w:t>Seção e responsáveis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33750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3"/>
              </w:rPr>
              <w:t>Material disponível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Arial" w:hAnsi="Arial"/>
                <w:b w:val="0"/>
                <w:color w:val="000000"/>
                <w:sz w:val="23"/>
              </w:rPr>
              <w:t>1 Recurso solar — Samuel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3"/>
              </w:rPr>
              <w:t>42 documentos: 30 artigos, 6 livros, 1 tese e 5 relatórios/manuais.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EF2F5"/>
          </w:tcPr>
          <w:p>
            <w:pPr>
              <w:spacing w:after="40" w:line="252" w:lineRule="auto"/>
            </w:pPr>
            <w:r>
              <w:rPr>
                <w:rFonts w:ascii="Arial" w:hAnsi="Arial"/>
                <w:b w:val="0"/>
                <w:color w:val="000000"/>
                <w:sz w:val="23"/>
              </w:rPr>
              <w:t>2 Ambiente — Vannessa e Thais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EF2F5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3"/>
              </w:rPr>
              <w:t>40 documentos: 23 artigos, 9 livros, 3 dissertações, 2 teses, 2 relatórios/manuais e 1 TCC.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Arial" w:hAnsi="Arial"/>
                <w:b w:val="0"/>
                <w:color w:val="000000"/>
                <w:sz w:val="23"/>
              </w:rPr>
              <w:t>3 Conversão — Gabriela e Giulia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3"/>
              </w:rPr>
              <w:t>37 documentos: 17 artigos, 7 livros, 2 dissertações, 3 teses e 8 relatórios/manuais.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EF2F5"/>
          </w:tcPr>
          <w:p>
            <w:pPr>
              <w:spacing w:after="40" w:line="252" w:lineRule="auto"/>
            </w:pPr>
            <w:r>
              <w:rPr>
                <w:rFonts w:ascii="Arial" w:hAnsi="Arial"/>
                <w:b w:val="0"/>
                <w:color w:val="000000"/>
                <w:sz w:val="23"/>
              </w:rPr>
              <w:t>4 Desempenho — Júlia e Lucas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EF2F5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3"/>
              </w:rPr>
              <w:t>41 documentos: 25 artigos, 6 livros, 3 dissertações, 2 teses e 5 relatórios/manuais.</w:t>
            </w:r>
          </w:p>
        </w:tc>
      </w:tr>
    </w:tbl>
    <w:p>
      <w:pPr>
        <w:spacing w:after="40"/>
      </w:pPr>
    </w:p>
    <w:p>
      <w:r>
        <w:rPr>
          <w:b w:val="0"/>
        </w:rPr>
        <w:t>A soma por seção é 160 porque o mesmo documento pode atender mais de uma frente. Há 91 documentos distintos no conjunto.</w:t>
      </w:r>
    </w:p>
    <w:p>
      <w:pPr>
        <w:pStyle w:val="Heading2"/>
      </w:pPr>
      <w:r>
        <w:t>Entregas que conectam a equipe</w:t>
      </w:r>
    </w:p>
    <w:p>
      <w:r>
        <w:rPr>
          <w:b w:val="0"/>
        </w:rPr>
        <w:t>1 Recurso solar: definir grandezas, geometria, variabilidade e qualidade das observações. Gráficos G01 e G02; componentes reconstruídas somente como exploração.</w:t>
      </w:r>
    </w:p>
    <w:p>
      <w:r>
        <w:rPr>
          <w:b w:val="0"/>
        </w:rPr>
        <w:t>2 Ambiente: explicar mecanismos e registrar hipóteses térmicas, radiativas e de instalação. G03, G04, G20 e G22.</w:t>
      </w:r>
    </w:p>
    <w:p>
      <w:r>
        <w:rPr>
          <w:b w:val="0"/>
        </w:rPr>
        <w:t>3 Conversão: documentar a cadeia de cálculo comum e a passagem de potência a energia. Curvas G05 a G07 e séries G08 a G10.</w:t>
      </w:r>
    </w:p>
    <w:p>
      <w:r>
        <w:rPr>
          <w:b w:val="0"/>
        </w:rPr>
        <w:t>4 Desempenho: interpretar a cadeia de perdas, produtividades, PR, erros e limites. G11 a G19, G21, G24 e G25. Júlia responde por 4.1 e 4.5; Lucas por 4.2 a 4.4, conforme a proposta atual.</w:t>
      </w:r>
    </w:p>
    <w:p>
      <w:r>
        <w:rPr>
          <w:b w:val="0"/>
        </w:rPr>
        <w:t>Cada subseção entrega argumento, equações com símbolos e unidades, fontes com páginas, resultados interpretados e limitações. Começar com 3 a 5 referências centrais por subseção. O catálogo não substitui a leitura.</w:t>
      </w:r>
    </w:p>
    <w:p>
      <w:r>
        <w:br w:type="page"/>
      </w:r>
    </w:p>
    <w:p>
      <w:pPr>
        <w:pStyle w:val="Heading1"/>
      </w:pPr>
      <w:r>
        <w:t>Organização no Drive e no GitHub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7056"/>
      </w:tblGrid>
      <w:tr>
        <w:trPr>
          <w:cantSplit/>
          <w:tblHeader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33750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23"/>
              </w:rPr>
              <w:t>Material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33750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3"/>
              </w:rPr>
              <w:t>Destino recomendado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Arial" w:hAnsi="Arial"/>
                <w:b w:val="0"/>
                <w:color w:val="000000"/>
                <w:sz w:val="23"/>
              </w:rPr>
              <w:t>PDFs e dados brutos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3"/>
              </w:rPr>
              <w:t>Drive nas pastas existentes; GitHub contém listas, links e hashes.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EF2F5"/>
          </w:tcPr>
          <w:p>
            <w:pPr>
              <w:spacing w:after="40" w:line="252" w:lineRule="auto"/>
            </w:pPr>
            <w:r>
              <w:rPr>
                <w:rFonts w:ascii="Arial" w:hAnsi="Arial"/>
                <w:b w:val="0"/>
                <w:color w:val="000000"/>
                <w:sz w:val="23"/>
              </w:rPr>
              <w:t>Código e configuração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EF2F5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3"/>
              </w:rPr>
              <w:t>GitHub, com uma versão comum às quatro seções.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Arial" w:hAnsi="Arial"/>
                <w:b w:val="0"/>
                <w:color w:val="000000"/>
                <w:sz w:val="23"/>
              </w:rPr>
              <w:t>Notebooks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3"/>
              </w:rPr>
              <w:t>GitHub sem saídas; cópias executadas para consulta no Drive.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EF2F5"/>
          </w:tcPr>
          <w:p>
            <w:pPr>
              <w:spacing w:after="40" w:line="252" w:lineRule="auto"/>
            </w:pPr>
            <w:r>
              <w:rPr>
                <w:rFonts w:ascii="Arial" w:hAnsi="Arial"/>
                <w:b w:val="0"/>
                <w:color w:val="000000"/>
                <w:sz w:val="23"/>
              </w:rPr>
              <w:t>Figuras e tabelas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EF2F5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3"/>
              </w:rPr>
              <w:t>Selecionar para o capítulo; guardar só as necessárias no GitHub.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Arial" w:hAnsi="Arial"/>
                <w:b w:val="0"/>
                <w:color w:val="000000"/>
                <w:sz w:val="23"/>
              </w:rPr>
              <w:t>120 versões gráficas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3"/>
              </w:rPr>
              <w:t>Drive conserva os temas claro e escuro em PDF/PNG.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EF2F5"/>
          </w:tcPr>
          <w:p>
            <w:pPr>
              <w:spacing w:after="40" w:line="252" w:lineRule="auto"/>
            </w:pPr>
            <w:r>
              <w:rPr>
                <w:rFonts w:ascii="Arial" w:hAnsi="Arial"/>
                <w:b w:val="0"/>
                <w:color w:val="000000"/>
                <w:sz w:val="23"/>
              </w:rPr>
              <w:t>Texto em elaboração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EF2F5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3"/>
              </w:rPr>
              <w:t>Documento compartilhado oficial no Drive, se a equipe aceitar; GitHub conserva versões consolidadas.</w:t>
            </w:r>
          </w:p>
        </w:tc>
      </w:tr>
    </w:tbl>
    <w:p>
      <w:pPr>
        <w:spacing w:after="40"/>
      </w:pPr>
    </w:p>
    <w:p>
      <w:r>
        <w:rPr>
          <w:b w:val="0"/>
        </w:rPr>
        <w:t>As 160 cópias de PDFs somam aproximadamente 1,12 GB. Cada seção terá suas listas de artigos, livros e trabalhos acadêmicos apontando para o Drive, sem duplicar todos esses arquivos no GitHub.</w:t>
      </w:r>
    </w:p>
    <w:p>
      <w:r>
        <w:rPr>
          <w:b w:val="0"/>
        </w:rPr>
        <w:t>O pacote preparado reaproveita o código v1.2.2 e acrescenta as quatro pastas de trabalho, inventário atual, índice de 30 figuras, seis prévias e modelos de tarefa e revisão. Código científico e configurações foram preservados.</w:t>
      </w:r>
    </w:p>
    <w:p>
      <w:r>
        <w:rPr>
          <w:b w:val="0"/>
        </w:rPr>
        <w:t>Na rotina proposta, cada alteração computacional usa uma branch curta e revisão por outro integrante antes de entrar na versão principal. A equipe trabalha no mesmo período e registra a versão dos cálculos citados no texto.</w:t>
      </w:r>
    </w:p>
    <w:p>
      <w:r>
        <w:rPr>
          <w:b w:val="0"/>
        </w:rPr>
        <w:t>A conexão GitHub reconheceu a conta samuelasroma-byte, mas não retornou repositórios acessíveis. Isso não comprova inexistência. Nenhum repositório foi criado, alterado ou publicado nesta tarefa.</w:t>
      </w:r>
    </w:p>
    <w:p>
      <w:r>
        <w:rPr>
          <w:b w:val="0"/>
        </w:rPr>
        <w:t>A equipe deve confirmar o repositório autorizado e a fonte oficial do texto. Evitar duas versões editáveis concorrentes do capítulo.</w:t>
      </w:r>
    </w:p>
    <w:p>
      <w:r>
        <w:br w:type="page"/>
      </w:r>
    </w:p>
    <w:p>
      <w:pPr>
        <w:pStyle w:val="Heading1"/>
      </w:pPr>
      <w:r>
        <w:t>Plano de execução e revisão</w:t>
      </w:r>
    </w:p>
    <w:p>
      <w:r>
        <w:rPr>
          <w:b w:val="0"/>
        </w:rPr>
        <w:t>O cronograma abaixo já consta da proposta do grupo. A organização por pastas e as recomendações de operação ainda precisam ser discutidas pela equipe.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848"/>
      </w:tblGrid>
      <w:tr>
        <w:trPr>
          <w:cantSplit/>
          <w:tblHeader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33750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FFFFFF"/>
                <w:sz w:val="23"/>
              </w:rPr>
              <w:t>Prazo de 2026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33750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3"/>
              </w:rPr>
              <w:t>Entrega prevista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Arial" w:hAnsi="Arial"/>
                <w:b w:val="0"/>
                <w:color w:val="000000"/>
                <w:sz w:val="23"/>
              </w:rPr>
              <w:t>Até 22/10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3"/>
              </w:rPr>
              <w:t>Roteiro de subseção, referências prioritárias e início do texto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EF2F5"/>
          </w:tcPr>
          <w:p>
            <w:pPr>
              <w:spacing w:after="40" w:line="252" w:lineRule="auto"/>
            </w:pPr>
            <w:r>
              <w:rPr>
                <w:rFonts w:ascii="Arial" w:hAnsi="Arial"/>
                <w:b w:val="0"/>
                <w:color w:val="000000"/>
                <w:sz w:val="23"/>
              </w:rPr>
              <w:t>27/10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EF2F5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3"/>
              </w:rPr>
              <w:t>Slides preliminares e uma subseção redigida por integrante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Arial" w:hAnsi="Arial"/>
                <w:b w:val="0"/>
                <w:color w:val="000000"/>
                <w:sz w:val="23"/>
              </w:rPr>
              <w:t>05/11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3"/>
              </w:rPr>
              <w:t>Segunda subseção atribuída redigida; divisão interna a confirmar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EF2F5"/>
          </w:tcPr>
          <w:p>
            <w:pPr>
              <w:spacing w:after="40" w:line="252" w:lineRule="auto"/>
            </w:pPr>
            <w:r>
              <w:rPr>
                <w:rFonts w:ascii="Arial" w:hAnsi="Arial"/>
                <w:b w:val="0"/>
                <w:color w:val="000000"/>
                <w:sz w:val="23"/>
              </w:rPr>
              <w:t>19/11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EF2F5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3"/>
              </w:rPr>
              <w:t>Capítulo completo integrado, introdução e considerações finais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Arial" w:hAnsi="Arial"/>
                <w:b w:val="0"/>
                <w:color w:val="000000"/>
                <w:sz w:val="23"/>
              </w:rPr>
              <w:t>26/11 a 01/12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3"/>
              </w:rPr>
              <w:t>Conferir ciência, referências, continuidade, figuras e formatação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EF2F5"/>
          </w:tcPr>
          <w:p>
            <w:pPr>
              <w:spacing w:after="40" w:line="252" w:lineRule="auto"/>
            </w:pPr>
            <w:r>
              <w:rPr>
                <w:rFonts w:ascii="Arial" w:hAnsi="Arial"/>
                <w:b w:val="0"/>
                <w:color w:val="000000"/>
                <w:sz w:val="23"/>
              </w:rPr>
              <w:t>01/12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EF2F5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3"/>
              </w:rPr>
              <w:t>Correções incorporadas, slides finais e entrega</w:t>
            </w:r>
          </w:p>
        </w:tc>
      </w:tr>
    </w:tbl>
    <w:p>
      <w:pPr>
        <w:spacing w:after="40"/>
      </w:pPr>
    </w:p>
    <w:p>
      <w:pPr>
        <w:pStyle w:val="Heading2"/>
      </w:pPr>
      <w:r>
        <w:t>Próxima reunião da equipe</w:t>
      </w:r>
    </w:p>
    <w:p>
      <w:r>
        <w:rPr>
          <w:b w:val="0"/>
        </w:rPr>
        <w:t>Confirmar o caso PVDAQ e o trimestre de 2024; dividir as subseções dentro das duplas; escolher as primeiras leituras e as figuras centrais; definir documento oficial, integrador e revisores; verificar acesso às pastas e ao repositório.</w:t>
      </w:r>
    </w:p>
    <w:p>
      <w:pPr>
        <w:pStyle w:val="Heading2"/>
      </w:pPr>
      <w:r>
        <w:t>Critérios para concluir uma subseção</w:t>
      </w:r>
    </w:p>
    <w:p>
      <w:r>
        <w:rPr>
          <w:b w:val="0"/>
        </w:rPr>
        <w:t>Afirmar apenas o que a evidência sustenta, definir equações e unidades, conferir citações e páginas, interpretar gráficos e tabelas e registrar limites. PR e energia devem usar janelas compatíveis. Cenários não são medições; o trimestre não é climatologia anual.</w:t>
      </w:r>
    </w:p>
    <w:p>
      <w:r>
        <w:rPr>
          <w:b w:val="0"/>
        </w:rPr>
        <w:t>A norma IEC 61724-1:2021 permanece ausente. Podemos escrever com as fontes disponíveis, sem alegar conformidade com requisitos não examinados. Os relatórios de apoio não substituem a norma.</w:t>
      </w:r>
    </w:p>
    <w:p>
      <w:hyperlink r:id="rId11">
        <w:r>
          <w:rPr>
            <w:color w:val="005C86"/>
            <w:u w:val="single"/>
          </w:rPr>
          <w:t>Abrir a proposta atual de estrutura e cronograma</w:t>
        </w:r>
      </w:hyperlink>
    </w:p>
    <w:p>
      <w:hyperlink r:id="rId12">
        <w:r>
          <w:rPr>
            <w:color w:val="005C86"/>
            <w:u w:val="single"/>
          </w:rPr>
          <w:t>Abrir a biblioteca organizada por seção</w:t>
        </w:r>
      </w:hyperlink>
    </w:p>
    <w:p>
      <w:r>
        <w:rPr>
          <w:b w:val="0"/>
        </w:rPr>
        <w:t>O plano completo em HTML/Markdown contém explicações dos gráficos, fontes, limites e a estrutura detalhada do pacote.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rive.google.com/drive/folders/1P24D73lzW_Vo03GoqrAIN0v1JOqNBRuj" TargetMode="External"/><Relationship Id="rId10" Type="http://schemas.openxmlformats.org/officeDocument/2006/relationships/hyperlink" Target="https://drive.google.com/file/d/1EYHPdkAeotZTRryg73DTotHkOZH691Zk/view?usp=drivesdk" TargetMode="External"/><Relationship Id="rId11" Type="http://schemas.openxmlformats.org/officeDocument/2006/relationships/hyperlink" Target="https://docs.google.com/document/d/1v5h8IW7XLGd7LeXHOevwoKLSvLLsY9kI/edit" TargetMode="External"/><Relationship Id="rId12" Type="http://schemas.openxmlformats.org/officeDocument/2006/relationships/hyperlink" Target="https://drive.google.com/drive/folders/1Ko7bngE2QGAChdqNUVib-Ls7j7d25k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da equipe para construir o capítulo SPGER0046</dc:title>
  <dc:subject>Acervo dados divisão do trabalho e integração com GitHub</dc:subject>
  <dc:creator>Equipe SPGER0046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