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Tabelas do projeto fotovoltaico</w:t>
      </w:r>
    </w:p>
    <w:p>
      <w:pPr>
        <w:keepNext w:val="0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Farm Solar Array PVDAQ 2107, abril a junho de 2024. Resultados numéricos para a redação do capítulo. As tabelas são editáveis, com três traços horizontais e sem grade no corpo. Todos os indicadores informam sua janela de cálculo.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 — Estatística descritiva de posição e dispersão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2770"/>
        <w:gridCol w:w="869"/>
        <w:gridCol w:w="1521"/>
        <w:gridCol w:w="1304"/>
        <w:gridCol w:w="1304"/>
        <w:gridCol w:w="1304"/>
      </w:tblGrid>
      <w:tr>
        <w:trPr>
          <w:tblHeader/>
          <w:cantSplit/>
        </w:trPr>
        <w:tc>
          <w:tcPr>
            <w:tcW w:type="dxa" w:w="277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 e unidade</w:t>
            </w:r>
          </w:p>
        </w:tc>
        <w:tc>
          <w:tcPr>
            <w:tcW w:type="dxa" w:w="86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2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Média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Mediana</w:t>
            </w:r>
          </w:p>
        </w:tc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DP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 (W/m²)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580,72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623,87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331,80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 (°C)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24,54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25,17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6,44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 (m/s)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2,96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2,59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1,61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 (°C)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37,82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38,63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12,36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observada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410,82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456,32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217,74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simulada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442,59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495,98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238,65</w:t>
            </w:r>
          </w:p>
        </w:tc>
      </w:tr>
      <w:tr>
        <w:trPr>
          <w:cantSplit/>
        </w:trPr>
        <w:tc>
          <w:tcPr>
            <w:tcW w:type="dxa" w:w="277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Resíduo simulado − observado (kW)</w:t>
            </w:r>
          </w:p>
        </w:tc>
        <w:tc>
          <w:tcPr>
            <w:tcW w:type="dxa" w:w="86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2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99,55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31,77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38,86</w:t>
            </w:r>
          </w:p>
        </w:tc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52,77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Mesmos 4.401 pares diurnos; 4.421 intervalos esperados pelo critério solar. DP amostral com ddof=1. A cobertura é conjunta, não a cobertura individual de cada sensor.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2 — Extremos e quartis dos mesmos pares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024"/>
        <w:gridCol w:w="1209"/>
        <w:gridCol w:w="1209"/>
        <w:gridCol w:w="1209"/>
        <w:gridCol w:w="1209"/>
        <w:gridCol w:w="1209"/>
      </w:tblGrid>
      <w:tr>
        <w:trPr>
          <w:tblHeader/>
          <w:cantSplit/>
        </w:trPr>
        <w:tc>
          <w:tcPr>
            <w:tcW w:type="dxa" w:w="302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Variável e unidade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Mínimo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Q1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Q3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Máximo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IQR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POA medida (W/m²)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264,60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897,83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1298,00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633,23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do ar (°C)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20,61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29,33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38,83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8,72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Velocidade do vento (m/s)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0,45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1,79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3,71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8,76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1,92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Temperatura operacional estimada (°C)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6,32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28,50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47,64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64,41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19,14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observada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213,76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611,84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705,92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398,08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Potência AC simulada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1,13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221,91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673,80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720,00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451,89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Resíduo simulado − observado (kW)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-225,47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-2,65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65,95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348,16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68,59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IQR=Q3−Q1. A moda não foi incluída para variáveis contínuas.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3 — Erros de potência nas comparações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557"/>
        <w:gridCol w:w="889"/>
        <w:gridCol w:w="1541"/>
        <w:gridCol w:w="1541"/>
        <w:gridCol w:w="1541"/>
      </w:tblGrid>
      <w:tr>
        <w:trPr>
          <w:tblHeader/>
          <w:cantSplit/>
        </w:trPr>
        <w:tc>
          <w:tcPr>
            <w:tcW w:type="dxa" w:w="355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Comparação</w:t>
            </w:r>
          </w:p>
        </w:tc>
        <w:tc>
          <w:tcPr>
            <w:tcW w:type="dxa" w:w="8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5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medidor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31,768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50,301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61,586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inversores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22,937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40,329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50,178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Ajuste empírico em abril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-5,972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35,914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50,523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verificado em maio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-7,276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38,430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48,010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testado em junho</w:t>
            </w:r>
          </w:p>
        </w:tc>
        <w:tc>
          <w:tcPr>
            <w:tcW w:type="dxa" w:w="8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10,536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35,584</w:t>
            </w:r>
          </w:p>
        </w:tc>
        <w:tc>
          <w:tcPr>
            <w:tcW w:type="dxa" w:w="15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41,793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Erro=simulado−observado. O fator empírico foi ajustado somente em abril; o modelo físico permanece separado. R27.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4 — Erros normalizados correlação e determinação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534"/>
        <w:gridCol w:w="1473"/>
        <w:gridCol w:w="1473"/>
        <w:gridCol w:w="1296"/>
        <w:gridCol w:w="1296"/>
      </w:tblGrid>
      <w:tr>
        <w:trPr>
          <w:tblHeader/>
          <w:cantSplit/>
        </w:trPr>
        <w:tc>
          <w:tcPr>
            <w:tcW w:type="dxa" w:w="353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Comparação</w:t>
            </w:r>
          </w:p>
        </w:tc>
        <w:tc>
          <w:tcPr>
            <w:tcW w:type="dxa" w:w="1473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nMBE (%)</w:t>
            </w:r>
          </w:p>
        </w:tc>
        <w:tc>
          <w:tcPr>
            <w:tcW w:type="dxa" w:w="1473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R²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medidor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7,733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14,991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0,97742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0,91998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Físico versus inversores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5,466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11,957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0,98373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0,94906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Ajuste empírico em abril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-1,447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12,238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0,97448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0,94637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verificado em maio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-1,690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11,153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0,97744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0,95422</w:t>
            </w:r>
          </w:p>
        </w:tc>
      </w:tr>
      <w:tr>
        <w:trPr>
          <w:cantSplit/>
        </w:trPr>
        <w:tc>
          <w:tcPr>
            <w:tcW w:type="dxa" w:w="353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Empírico testado em junho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2,706</w:t>
            </w:r>
          </w:p>
        </w:tc>
        <w:tc>
          <w:tcPr>
            <w:tcW w:type="dxa" w:w="1473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10,732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0,98293</w:t>
            </w:r>
          </w:p>
        </w:tc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0,95978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Normalização pela média observada dos pares da respectiva comparação. R²=1−SSE/SST; não foi substituído por r². R27.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5 — Erros mensais do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278"/>
        <w:gridCol w:w="1022"/>
        <w:gridCol w:w="1597"/>
        <w:gridCol w:w="1725"/>
        <w:gridCol w:w="1725"/>
        <w:gridCol w:w="1725"/>
      </w:tblGrid>
      <w:tr>
        <w:trPr>
          <w:tblHeader/>
          <w:cantSplit/>
        </w:trPr>
        <w:tc>
          <w:tcPr>
            <w:tcW w:type="dxa" w:w="127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102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59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725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98,68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26,224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49,277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62,465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99,87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26,213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47,228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57,733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102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59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42,183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54,267</w:t>
            </w:r>
          </w:p>
        </w:tc>
        <w:tc>
          <w:tcPr>
            <w:tcW w:type="dxa" w:w="1725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64,467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Somente o modelo físico original; mesmos pares dentro de cada mês.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6 — Erros relativos mensais do modelo físico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nMBE (%)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R²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6,352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15,130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0,97448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0,91803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6,089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13,411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0,97744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0,93380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10,833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16,555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0,98293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0,90430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Denominador: média da potência observada de cada mês. Médias e amostras diferem entre meses.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7 — Consistência entre soma dos inversores e medidor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296"/>
        <w:gridCol w:w="1944"/>
        <w:gridCol w:w="1944"/>
        <w:gridCol w:w="1944"/>
        <w:gridCol w:w="1944"/>
      </w:tblGrid>
      <w:tr>
        <w:trPr>
          <w:tblHeader/>
          <w:cantSplit/>
        </w:trPr>
        <w:tc>
          <w:tcPr>
            <w:tcW w:type="dxa" w:w="129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MAE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  <w:tc>
          <w:tcPr>
            <w:tcW w:type="dxa" w:w="194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4401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8,831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13,885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23,805</w:t>
            </w:r>
          </w:p>
        </w:tc>
        <w:tc>
          <w:tcPr>
            <w:tcW w:type="dxa" w:w="194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5,795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Erro definido como soma dos inversores−medidor. Esta tabela compara medições entre si; não é uma simulação.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8 — Energia e cobertura dos intervalos pareados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512"/>
        <w:gridCol w:w="986"/>
        <w:gridCol w:w="1972"/>
        <w:gridCol w:w="2301"/>
        <w:gridCol w:w="2301"/>
      </w:tblGrid>
      <w:tr>
        <w:trPr>
          <w:tblHeader/>
          <w:cantSplit/>
        </w:trPr>
        <w:tc>
          <w:tcPr>
            <w:tcW w:type="dxa" w:w="151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98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97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  <w:tc>
          <w:tcPr>
            <w:tcW w:type="dxa" w:w="230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230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1344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98,68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138,717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147,528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1527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99,87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164,337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174,343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98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1530</w:t>
            </w:r>
          </w:p>
        </w:tc>
        <w:tc>
          <w:tcPr>
            <w:tcW w:type="dxa" w:w="197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100,00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148,948</w:t>
            </w:r>
          </w:p>
        </w:tc>
        <w:tc>
          <w:tcPr>
            <w:tcW w:type="dxa" w:w="230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165,083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Integração de médias de potência ×0,25 h. Janela diurna pareada.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9 — Energia observada integral por mês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890"/>
        <w:gridCol w:w="2016"/>
        <w:gridCol w:w="2016"/>
        <w:gridCol w:w="3150"/>
      </w:tblGrid>
      <w:tr>
        <w:trPr>
          <w:tblHeader/>
          <w:cantSplit/>
        </w:trPr>
        <w:tc>
          <w:tcPr>
            <w:tcW w:type="dxa" w:w="189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Mês</w:t>
            </w:r>
          </w:p>
        </w:tc>
        <w:tc>
          <w:tcPr>
            <w:tcW w:type="dxa" w:w="201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Registros</w:t>
            </w:r>
          </w:p>
        </w:tc>
        <w:tc>
          <w:tcPr>
            <w:tcW w:type="dxa" w:w="201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Esperados</w:t>
            </w:r>
          </w:p>
        </w:tc>
        <w:tc>
          <w:tcPr>
            <w:tcW w:type="dxa" w:w="315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medida (MWh)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Abril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139,701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Maio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2976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2976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165,016</w:t>
            </w:r>
          </w:p>
        </w:tc>
      </w:tr>
      <w:tr>
        <w:trPr>
          <w:cantSplit/>
        </w:trPr>
        <w:tc>
          <w:tcPr>
            <w:tcW w:type="dxa" w:w="189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Junho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201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2880</w:t>
            </w:r>
          </w:p>
        </w:tc>
        <w:tc>
          <w:tcPr>
            <w:tcW w:type="dxa" w:w="315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149,568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Total do medidor para o mês inteiro, separado do recorte usado nos gráficos de validação. Não utilizar este total com POA parcial para PR.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10 — Produtividades e desempenho na janela pareada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4838"/>
        <w:gridCol w:w="2117"/>
        <w:gridCol w:w="2117"/>
      </w:tblGrid>
      <w:tr>
        <w:trPr>
          <w:tblHeader/>
          <w:cantSplit/>
        </w:trPr>
        <w:tc>
          <w:tcPr>
            <w:tcW w:type="dxa" w:w="4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Indicador</w:t>
            </w:r>
          </w:p>
        </w:tc>
        <w:tc>
          <w:tcPr>
            <w:tcW w:type="dxa" w:w="211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Valor</w:t>
            </w:r>
          </w:p>
        </w:tc>
        <w:tc>
          <w:tcPr>
            <w:tcW w:type="dxa" w:w="211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Unidade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Yr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638,936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Ya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563,330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Yf simulada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545,302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kWh/kWp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Yf observada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506,162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kWh/kWp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simulado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85,345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PR observado pareado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79,219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%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Lc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75,606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  <w:tr>
        <w:trPr>
          <w:cantSplit/>
        </w:trPr>
        <w:tc>
          <w:tcPr>
            <w:tcW w:type="dxa" w:w="4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Ls modelada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18,028</w:t>
            </w:r>
          </w:p>
        </w:tc>
        <w:tc>
          <w:tcPr>
            <w:tcW w:type="dxa" w:w="211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P₀=893 kWp declarados. Yr, Ya, Yf e PR usam a mesma máscara de 4.401 intervalos. Ya não é medição DC independente. R12 e R30.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11 — Energia por estágio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6652"/>
        <w:gridCol w:w="2419"/>
      </w:tblGrid>
      <w:tr>
        <w:trPr>
          <w:tblHeader/>
          <w:cantSplit/>
        </w:trPr>
        <w:tc>
          <w:tcPr>
            <w:tcW w:type="dxa" w:w="665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Estágio</w:t>
            </w:r>
          </w:p>
        </w:tc>
        <w:tc>
          <w:tcPr>
            <w:tcW w:type="dxa" w:w="241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(MWh)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Referência linear STC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570,570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Resposta SDM a 25 °C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573,967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hipótese óptica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573,967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temperatura modelada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526,428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perdas CC assumidas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503,054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conversão, antes do clipping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492,755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clipping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  <w:tr>
        <w:trPr>
          <w:cantSplit/>
        </w:trPr>
        <w:tc>
          <w:tcPr>
            <w:tcW w:type="dxa" w:w="665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Após perdas CA assumidas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Decomposição calculada; os incrementos ou perdas entre estágios não identificam sozinhos causas reais. R08, R11 e R12.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12 — Sensibilidade de sujidade e ventilação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2341"/>
        <w:gridCol w:w="4389"/>
        <w:gridCol w:w="2341"/>
      </w:tblGrid>
      <w:tr>
        <w:trPr>
          <w:tblHeader/>
          <w:cantSplit/>
        </w:trPr>
        <w:tc>
          <w:tcPr>
            <w:tcW w:type="dxa" w:w="23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Sujidade assumida (%)</w:t>
            </w:r>
          </w:p>
        </w:tc>
        <w:tc>
          <w:tcPr>
            <w:tcW w:type="dxa" w:w="438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Condição térmica</w:t>
            </w:r>
          </w:p>
        </w:tc>
        <w:tc>
          <w:tcPr>
            <w:tcW w:type="dxa" w:w="2341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Energia AC (MWh)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486,955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455,193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479,859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448,212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Ventilação de referência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468,477</w:t>
            </w:r>
          </w:p>
        </w:tc>
      </w:tr>
      <w:tr>
        <w:trPr>
          <w:cantSplit/>
        </w:trPr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type="dxa" w:w="438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Menor ventilação, cenário</w:t>
            </w:r>
          </w:p>
        </w:tc>
        <w:tc>
          <w:tcPr>
            <w:tcW w:type="dxa" w:w="2341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437,403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Atenuação adicional do módulo relativamente à leitura POA. Não é perda de sujeira medida. Mesmos pares da cadeia principal. R07 e R28.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13 — Sensibilidade do limite AC por inversor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804"/>
        <w:gridCol w:w="1756"/>
        <w:gridCol w:w="1756"/>
        <w:gridCol w:w="1756"/>
      </w:tblGrid>
      <w:tr>
        <w:trPr>
          <w:tblHeader/>
          <w:cantSplit/>
        </w:trPr>
        <w:tc>
          <w:tcPr>
            <w:tcW w:type="dxa" w:w="38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Limite assumido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MBE (kW)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RMSE (kW)</w:t>
            </w:r>
          </w:p>
        </w:tc>
        <w:tc>
          <w:tcPr>
            <w:tcW w:type="dxa" w:w="1756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nRMSE (%)</w:t>
            </w:r>
          </w:p>
        </w:tc>
      </w:tr>
      <w:tr>
        <w:trPr>
          <w:cantSplit/>
        </w:trPr>
        <w:tc>
          <w:tcPr>
            <w:tcW w:type="dxa" w:w="38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27.6 kW/inversor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19,831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54,135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13,177</w:t>
            </w:r>
          </w:p>
        </w:tc>
      </w:tr>
      <w:tr>
        <w:trPr>
          <w:cantSplit/>
        </w:trPr>
        <w:tc>
          <w:tcPr>
            <w:tcW w:type="dxa" w:w="38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 kW/inversor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31,768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61,586</w:t>
            </w:r>
          </w:p>
        </w:tc>
        <w:tc>
          <w:tcPr>
            <w:tcW w:type="dxa" w:w="1756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14,991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Comparação de hipóteses; não selecionadas pelo melhor resultado de junho. R13.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14 — Albedo e geometrias com componentes estimadas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6047"/>
        <w:gridCol w:w="3024"/>
      </w:tblGrid>
      <w:tr>
        <w:trPr>
          <w:tblHeader/>
          <w:cantSplit/>
        </w:trPr>
        <w:tc>
          <w:tcPr>
            <w:tcW w:type="dxa" w:w="6047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Cenário</w:t>
            </w:r>
          </w:p>
        </w:tc>
        <w:tc>
          <w:tcPr>
            <w:tcW w:type="dxa" w:w="302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H POA estimada (kWh/m²)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0.1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631,953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0.2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634,817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Albedo 0.4 (hipótese)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640,547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Horizontal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611,513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Arranjo real: 25°, sul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634,817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sul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281,991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leste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269,976</w:t>
            </w:r>
          </w:p>
        </w:tc>
      </w:tr>
      <w:tr>
        <w:trPr>
          <w:cantSplit/>
        </w:trPr>
        <w:tc>
          <w:tcPr>
            <w:tcW w:type="dxa" w:w="6047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oeste</w:t>
            </w:r>
          </w:p>
        </w:tc>
        <w:tc>
          <w:tcPr>
            <w:tcW w:type="dxa" w:w="302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339,674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Mesmas 1.037 horas elegíveis da inversão; não é irradiação integral do trimestre. Sensibilidade de albedo mantendo componentes estimadas com referência 0,20. R14–R16 e R29.</w:t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15 — Produtividade e PR dos cenários BIPV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3628"/>
        <w:gridCol w:w="2419"/>
        <w:gridCol w:w="1814"/>
        <w:gridCol w:w="1209"/>
      </w:tblGrid>
      <w:tr>
        <w:trPr>
          <w:tblHeader/>
          <w:cantSplit/>
        </w:trPr>
        <w:tc>
          <w:tcPr>
            <w:tcW w:type="dxa" w:w="362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Geometria</w:t>
            </w:r>
          </w:p>
        </w:tc>
        <w:tc>
          <w:tcPr>
            <w:tcW w:type="dxa" w:w="241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Yf (kWh/kWp)</w:t>
            </w:r>
          </w:p>
        </w:tc>
        <w:tc>
          <w:tcPr>
            <w:tcW w:type="dxa" w:w="181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PR (%)</w:t>
            </w:r>
          </w:p>
        </w:tc>
        <w:tc>
          <w:tcPr>
            <w:tcW w:type="dxa" w:w="120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Horas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Inclinado de referência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543,980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85,691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sul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246,430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87,389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leste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234,280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86,778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  <w:tr>
        <w:trPr>
          <w:cantSplit/>
        </w:trPr>
        <w:tc>
          <w:tcPr>
            <w:tcW w:type="dxa" w:w="362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Fachada oeste</w:t>
            </w:r>
          </w:p>
        </w:tc>
        <w:tc>
          <w:tcPr>
            <w:tcW w:type="dxa" w:w="241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284,804</w:t>
            </w:r>
          </w:p>
        </w:tc>
        <w:tc>
          <w:tcPr>
            <w:tcW w:type="dxa" w:w="181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83,846</w:t>
            </w:r>
          </w:p>
        </w:tc>
        <w:tc>
          <w:tcPr>
            <w:tcW w:type="dxa" w:w="120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1037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Cenários verticais com menor ventilação. Mesma base temporal e capacidade de normalização, sem medições de fachada. R14 e R19.</w:t>
      </w:r>
    </w:p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5,444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5,173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5,654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7,332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43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4,497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4,868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6,128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1,176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1,295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1,485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4,316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6,108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4,281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4,753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6,012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5,763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7,236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44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5,332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7,006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5,602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7,367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4,200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4,359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5,396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0,758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0,781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0,930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3,087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3,384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4,144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7,294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5,008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6,810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2,983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3,859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45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7,602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5,434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7,588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5,279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7,280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6,543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4,280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4,486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4,443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4,824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6,260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5,145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6,613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5,419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5,653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5,534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7,167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5,594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7,579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5,869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47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5,262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5,437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7,058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7,462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2,167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2,506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3,208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4,818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5,173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6,593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7,758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48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6,055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7,846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6,046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7,841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5,398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5,968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7,783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5,246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5,814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7,747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5,681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7,791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7,661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7,737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5,510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7,488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5,675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7,645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5,783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7,557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(continuação)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5,362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4,132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5,731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7,548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5,472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5,992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7,726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5,851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5,882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7,790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5,495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5,707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7,554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5,874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5,932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7,789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5,776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7,427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4,485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4,849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6,332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5,714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7,500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50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5,579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5,556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5,876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7,619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7,622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49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96,1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31/05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5,500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5,587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5,467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5,696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5,284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5,515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7,173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4,688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4,978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6,385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5,481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5,627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7,472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5,319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5,402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7,429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7,409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5,665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4,771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5,315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6,770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r>
        <w:rPr>
          <w:rFonts w:ascii="Times New Roman" w:hAnsi="Times New Roman" w:eastAsia="Times New Roman" w:cs="Times New Roman"/>
          <w:sz w:val="24"/>
          <w:szCs w:val="24"/>
        </w:rPr>
        <w:br w:type="page"/>
      </w:r>
    </w:p>
    <w:p>
      <w:pPr>
        <w:keepNext/>
        <w:spacing w:line="240" w:lineRule="auto" w:before="120" w:after="12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</w:rPr>
        <w:t>Tabela 16 — Energia diária e horas equivalentes na janela pareada (conclusão)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color="000000"/>
          <w:left w:val="nil" w:sz="12" w:color="000000"/>
          <w:bottom w:val="single" w:sz="12" w:color="000000"/>
          <w:right w:val="nil" w:sz="12" w:color="000000"/>
          <w:insideH w:val="nil" w:sz="12" w:color="000000"/>
          <w:insideV w:val="nil" w:sz="12" w:color="000000"/>
        </w:tblBorders>
      </w:tblPr>
      <w:tblGrid>
        <w:gridCol w:w="1304"/>
        <w:gridCol w:w="1838"/>
        <w:gridCol w:w="1838"/>
        <w:gridCol w:w="1482"/>
        <w:gridCol w:w="830"/>
        <w:gridCol w:w="1779"/>
      </w:tblGrid>
      <w:tr>
        <w:trPr>
          <w:tblHeader/>
          <w:cantSplit/>
        </w:trPr>
        <w:tc>
          <w:tcPr>
            <w:tcW w:type="dxa" w:w="1304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Dia de 2024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Medida (MWh)</w:t>
            </w:r>
          </w:p>
        </w:tc>
        <w:tc>
          <w:tcPr>
            <w:tcW w:type="dxa" w:w="1838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Simulada (MWh)</w:t>
            </w:r>
          </w:p>
        </w:tc>
        <w:tc>
          <w:tcPr>
            <w:tcW w:type="dxa" w:w="1482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PSH (h)</w:t>
            </w:r>
          </w:p>
        </w:tc>
        <w:tc>
          <w:tcPr>
            <w:tcW w:type="dxa" w:w="830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n</w:t>
            </w:r>
          </w:p>
        </w:tc>
        <w:tc>
          <w:tcPr>
            <w:tcW w:type="dxa" w:w="1779"/>
            <w:vAlign w:val="center"/>
            <w:tcBorders>
              <w:top w:val="single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  <w:t>Cobertura (%)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09/06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7,391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5,015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5,586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7,463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4,940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5,373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7,393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5,084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7,580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5,237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7,562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5,180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7,436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5,227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5,826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7,745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5,057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5,759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7,661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5,196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5,790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4,845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5,504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7,255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4,899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5,647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7,492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4,601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7,174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21/06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4,796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5,684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22/06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4,802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5,630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7,533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23/06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4,861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5,729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7,607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24/06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4,928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5,745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7,633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25/06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2,568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3,000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3,866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26/06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5,048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5,766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7,490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27/06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5,136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5,644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7,548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28/06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5,040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5,593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7,514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29/06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4,850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5,456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7,265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nil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30/06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5,030</w:t>
            </w:r>
          </w:p>
        </w:tc>
        <w:tc>
          <w:tcPr>
            <w:tcW w:type="dxa" w:w="1838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5,522</w:t>
            </w:r>
          </w:p>
        </w:tc>
        <w:tc>
          <w:tcPr>
            <w:tcW w:type="dxa" w:w="1482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7,451</w:t>
            </w:r>
          </w:p>
        </w:tc>
        <w:tc>
          <w:tcPr>
            <w:tcW w:type="dxa" w:w="830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51</w:t>
            </w:r>
          </w:p>
        </w:tc>
        <w:tc>
          <w:tcPr>
            <w:tcW w:type="dxa" w:w="1779"/>
            <w:vAlign w:val="center"/>
            <w:tcBorders>
              <w:top w:val="nil" w:sz="12" w:color="000000"/>
              <w:left w:val="nil" w:sz="12" w:color="000000"/>
              <w:bottom w:val="single" w:sz="12" w:color="000000"/>
              <w:right w:val="nil" w:sz="12" w:color="000000"/>
            </w:tcBorders>
            <w:tcMar>
              <w:top w:w="65" w:type="dxa"/>
              <w:bottom w:w="65" w:type="dxa"/>
              <w:left w:w="80" w:type="dxa"/>
              <w:right w:w="80" w:type="dxa"/>
            </w:tcMar>
          </w:tcPr>
          <w:p>
            <w:pPr>
              <w:keepNext/>
              <w:spacing w:after="40" w:before="4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4"/>
                <w:szCs w:val="24"/>
              </w:rPr>
              <w:t>100,0</w:t>
            </w:r>
          </w:p>
        </w:tc>
      </w:tr>
    </w:tbl>
    <w:p>
      <w:pPr>
        <w:keepNext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Fonte: elaboração da equipe a partir de dados do PVDAQ, sistema 2107 (2026).</w:t>
      </w:r>
    </w:p>
    <w:p>
      <w:pPr>
        <w:keepNext w:val="0"/>
        <w:keepLines/>
        <w:spacing w:line="240" w:lineRule="auto" w:before="0" w:after="12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4"/>
          <w:szCs w:val="24"/>
        </w:rPr>
        <w:t>Nota: PSH=H_POA/(1 kW/m²). Somente intervalos diurnos pareados, não duração de brilho solar nem total integral do dia. n esperado e datas com fuso estão no CSV. R12 e R30.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701" w:right="1134" w:bottom="1134" w:left="1701" w:header="1134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ind w:firstLine="0"/>
      <w:jc w:val="right"/>
    </w:pPr>
    <w:fldSimple w:instr="PAGE">
      <w:r>
        <w:rPr>
          <w:rFonts w:ascii="Times New Roman" w:hAnsi="Times New Roman" w:eastAsia="Times New Roman" w:cs="Times New Roman"/>
          <w:sz w:val="24"/>
          <w:szCs w:val="24"/>
        </w:rPr>
        <w:t>1</w:t>
      </w:r>
    </w:fldSimple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240" w:line="240" w:lineRule="auto" w:before="240"/>
      <w:ind w:firstLine="0" w:left="0" w:right="0"/>
      <w:jc w:val="left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40" w:after="240" w:line="240" w:lineRule="auto"/>
      <w:ind w:firstLine="0" w:left="0" w:right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40" w:lineRule="auto" w:before="240"/>
      <w:ind w:firstLine="0" w:left="0" w:right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0" w:line="360" w:lineRule="auto" w:before="0"/>
      <w:ind w:firstLine="709" w:left="0" w:right="0"/>
      <w:jc w:val="both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widowControl/>
      <w:spacing w:line="240" w:lineRule="auto" w:before="240" w:after="240"/>
      <w:ind w:firstLine="0" w:left="0" w:right="0"/>
      <w:jc w:val="left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4"/>
      <w:szCs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sz w:val="24"/>
      <w:u w:val="single"/>
      <w:szCs w:val="24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u w:val="single"/>
      <w:szCs w:val="24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ferênciaABNT">
    <w:name w:val="Referência ABNT"/>
    <w:basedOn w:val="Normal"/>
    <w:pPr>
      <w:keepLines/>
      <w:widowControl/>
      <w:spacing w:line="240" w:lineRule="auto" w:before="0" w:after="240"/>
      <w:ind w:left="709" w:hanging="709"/>
      <w:jc w:val="left"/>
    </w:pPr>
    <w:rPr>
      <w:rFonts w:ascii="Times New Roman" w:hAnsi="Times New Roman" w:eastAsia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Tabelas do projeto fotovoltaico</dc:title>
  <dc:subject>Farm Solar Array PVDAQ 2107 abril a junho de 2024</dc:subject>
  <dc:creator>Grupo SPGER0046 UFPB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