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oteiro-oral-da-subseção-1.1"/>
    <w:p>
      <w:pPr>
        <w:pStyle w:val="Heading1"/>
        <w:widowControl/>
      </w:pPr>
      <w:r>
        <w:rPr>
          <w:b/>
        </w:rPr>
        <w:t>ROTEIRO ORAL DA SUBSEÇÃO 1.1</w:t>
      </w:r>
    </w:p>
    <w:p>
      <w:pPr>
        <w:pStyle w:val="FirstParagraph"/>
        <w:widowControl/>
        <w:ind w:firstLine="0"/>
        <w:jc w:val="left"/>
      </w:pPr>
      <w:r>
        <w:rPr>
          <w:rFonts w:ascii="Times New Roman" w:hAnsi="Times New Roman"/>
          <w:i w:val="0"/>
        </w:rPr>
        <w:t xml:space="preserve">Samuel Constantino Teixeira — apresentação preliminar de 29/10/2026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Os seis quadros correspondem aos slides físicos 5 a 10 do arquivo coletivo, com numeração visível 4 a 9. O tempo individual não foi fixado no planejamento; este roteiro organiza a fala sem presumir uma duração autorizada.</w:t>
      </w:r>
    </w:p>
    <w:bookmarkStart w:id="20" w:name="quadro-1-1.1-geometria-solar"/>
    <w:p>
      <w:pPr>
        <w:pStyle w:val="Heading2"/>
        <w:widowControl/>
      </w:pPr>
      <w:r>
        <w:rPr>
          <w:b/>
        </w:rPr>
        <w:t>QUADRO 1 — 1.1 · GEOMETRIA SOLAR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Definir a direção solar sem confundir direção com fluxo medido. O esquema é didático e não representa uma observação. θz é contado da vertical e αs da horizontal. A vista em planta define o azimute horário desde o norte. O livro Duffie usa outra origem azimutal; a convenção adotada aqui é a do SPA, também descrita no handbook. No zênite o azimute é indefinido. Fontes verificadas: B12 p. 13/PDF31; A045 cap. 2-8/PDF37.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Fontes: Duffie, Beckman e Blair (2020), p. 13; Sengupta et al. (2024), cap. 2, p. 8.</w:t>
      </w:r>
    </w:p>
    <w:bookmarkEnd w:id="20"/>
    <w:bookmarkStart w:id="21" w:name="quadro-2-1.1-relação-do-ângulo-zenital"/>
    <w:p>
      <w:pPr>
        <w:pStyle w:val="Heading2"/>
        <w:widowControl/>
      </w:pPr>
      <w:r>
        <w:rPr>
          <w:b/>
        </w:rPr>
        <w:t>QUADRO 2 — 1.1 · RELAÇÃO DO ÂNGULO ZENITAL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A equação relaciona latitude, declinação e ângulo horário e expressa a trigonometria esférica. ω=0 no meio-dia solar, que não coincide necessariamente com 12h civis. A notação t_sol está em horas de tempo solar verdadeiro; ω=15°(t_sol/1h−12). Não misturar graus e radianos em sin/cos. Esta equação elementar não inclui refração; no SPA zenith e apparent_zenith são saídas distintas. Fontes: B12 pp.13–15/PDF31–33; B32 pp.10–11/PDF16–17.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Fontes: Duffie, Beckman e Blair (2020), p. 13–15; Reda e Andreas (2008), p. 10–11.</w:t>
      </w:r>
    </w:p>
    <w:bookmarkEnd w:id="21"/>
    <w:bookmarkStart w:id="22" w:name="quadro-3-1.1-irradiância-extraterrestre"/>
    <w:p>
      <w:pPr>
        <w:pStyle w:val="Heading2"/>
        <w:widowControl/>
      </w:pPr>
      <w:r>
        <w:rPr>
          <w:b/>
        </w:rPr>
        <w:t>QUADRO 3 — 1.1 · IRRADIÂNCIA EXTRATERRESTRE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O inverso do quadrado relaciona a irradiância normal à distância Terra–Sol. Spencer aproxima o fator orbital E0; não calcula nuvens, absorção nem radiação difusa. Aqui Gsc=1366,1 W/m² é uma constante de compatibilidade da implementação, não uma nova determinação metrológica da constante solar. O coeficiente de cos(2B) é 0,000719 conforme código conferido do pvlib 0.16.1; o exemplar B12 apresenta 0,00719 na equação 1.4.1b, divergência registrada na conferência. A projeção usa o zenital geométrico e é anulada com o Sol abaixo do horizonte. O ano 2024 é bissexto, mas o denominador 365 é mantido para reproduzir o método do projeto.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Fontes: Duffie, Beckman e Blair (2020), p. 9; pvlib 0.16.1, get_extra_radiation.</w:t>
      </w:r>
    </w:p>
    <w:bookmarkEnd w:id="22"/>
    <w:bookmarkStart w:id="23" w:name="quadro-4-1.1-implementação-computacional"/>
    <w:p>
      <w:pPr>
        <w:pStyle w:val="Heading2"/>
        <w:widowControl/>
      </w:pPr>
      <w:r>
        <w:rPr>
          <w:b/>
        </w:rPr>
        <w:t>QUADRO 4 — 1.1 · IMPLEMENTAÇÃO COMPUTACIONAL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Mostrar as duas ramificações: localização e instante alimentam o SPA; o dia do ano alimenta Spencer; zenital e G0n entram na projeção. Não há dependência conceitual de Spencer em relação ao SPA. POA representa médias de 15 minutos, rotuladas pelo início; os ângulos são calculados 7min30s depois. A pressão é estimada da altitude de 10 m; temperatura de refração 12°C e ΔT=67s são padrões de compatibilidade mantidos do projeto. São parâmetros do cálculo, não medições atmosféricas. A comparação com o exemplo publicado do SPA verifica a implementação, e não valida os sensores do PVDAQ.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Fontes: configuração do projeto PVDAQ 2107; Reda e Andreas (2008); pvlib 0.16.1.</w:t>
      </w:r>
    </w:p>
    <w:bookmarkEnd w:id="23"/>
    <w:bookmarkStart w:id="24" w:name="quadro-5-1.1-pvdaq-2107-em-17052024"/>
    <w:p>
      <w:pPr>
        <w:pStyle w:val="Heading2"/>
        <w:widowControl/>
      </w:pPr>
      <w:r>
        <w:rPr>
          <w:b/>
        </w:rPr>
        <w:t>QUADRO 5 — 1.1 · PVDAQ 2107 EM 17/05/2024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A POA é observacional; os ângulos são calculados. A janela do gráfico é 05h–21h locais; o CSV preserva as 96 posições do dia. Há 94 médias POA não ausentes e 68 intervalos com três amostras originais. Não preencher lacunas. A incidência utiliza zenital aparente e orientação 25°/180°, conforme a configuração coletiva, enquanto a projeção extraterrestre usa zenital geométrico. Não interpretar o máximo próximo do meio-dia como validação independente do SPA nem declarar céu claro apenas pela forma da curva. Os dados são um exemplo diário de abril–junho/2024; não estabelecem climatologia ou efeito atmosférico causal. GHI/DNI/DHI locais independentes não estão disponíveis nesta seleção. Fontes: CSV observado preparado, configuração vigente, B32.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G01 — Fonte: POA/PVDAQ 2107 e cálculos SPA da equipe. Curvas no ponto médio; sem interpolação.</w:t>
      </w:r>
    </w:p>
    <w:bookmarkEnd w:id="24"/>
    <w:bookmarkStart w:id="25" w:name="quadro-6-1.1-síntese-e-limites"/>
    <w:p>
      <w:pPr>
        <w:pStyle w:val="Heading2"/>
        <w:widowControl/>
      </w:pPr>
      <w:r>
        <w:rPr>
          <w:b/>
        </w:rPr>
        <w:t>QUADRO 6 — 1.1 · SÍNTESE E LIMITES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Retomar a distinção entre referência geométrica e irradiância efetiva. A geometria fornece o referencial; a atmosfera modifica o campo radiativo. Os sensores permitem confrontar grandezas compatíveis, mas um sensor POA não constitui uma medição independente de cada componente horizontal. Massa de ar relativa é uma ligação com a atmosfera: secante do zenital apenas em domínio moderado, sem validade no horizonte; parametrizações devem distinguir pressão e refração. A próxima subseção formaliza irradiância, irradiação e componentes. Não antecipar modelos térmicos, elétricos nem de desempenho dos colegas.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Fontes: Duffie, Beckman e Blair (2020), p. 9–15; Sengupta et al. (2024), cap. 2, p. 5–10.</w:t>
      </w:r>
    </w:p>
    <w:bookmarkEnd w:id="25"/>
    <w:bookmarkStart w:id="26" w:name="questões-para-estudo"/>
    <w:p>
      <w:pPr>
        <w:pStyle w:val="Heading2"/>
        <w:widowControl/>
      </w:pPr>
      <w:r>
        <w:rPr>
          <w:b/>
        </w:rPr>
        <w:t>QUESTÕES PARA ESTUDO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Por que o meio-dia solar difere de 12 h no relógio? Porque longitude, equação do tempo e convenção civil deslocam a correspondência entre posição solar e hora registrada.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Por que SPA não fornece a GHI medida? Porque o algoritmo de posição solar não representa, por si só, a transferência radiativa na atmosfera.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Por que a POA não é uma medição de GHI? Porque o sensor está em outro plano e integra contribuições com distribuição angular distinta.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O valor 1366,1 W/m² é uma nova medida da constante solar? Não. É o parâmetro de referência mantido para reproduzir o método Spencer do projeto.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O que demonstra a conferência com a Tabela A5.1? A consistência da implementação com um exemplo publicado, sem validação independente do conjunto de sensores do estudo.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É possível identificar nuvens apenas pela G01? A forma da curva não discrimina de modo único os mecanismos atmosféricos e de medição.</w:t>
      </w:r>
    </w:p>
    <w:bookmarkEnd w:id="26"/>
    <w:bookmarkEnd w:id="27"/>
    <w:bookmarkStart w:id="28" w:name="referências"/>
    <w:p>
      <w:pPr>
        <w:pStyle w:val="Heading1"/>
        <w:widowControl/>
      </w:pPr>
      <w:r>
        <w:rPr>
          <w:b/>
        </w:rPr>
        <w:t>REFERÊNCIAS</w:t>
      </w:r>
    </w:p>
    <w:p>
      <w:pPr>
        <w:pStyle w:val="FirstParagraph"/>
        <w:widowControl/>
        <w:spacing w:line="264" w:lineRule="auto"/>
        <w:ind w:hanging="340" w:left="340"/>
        <w:jc w:val="left"/>
      </w:pPr>
      <w:r>
        <w:rPr>
          <w:rFonts w:ascii="Times New Roman" w:hAnsi="Times New Roman"/>
          <w:i w:val="0"/>
        </w:rPr>
        <w:t xml:space="preserve">DUFFIE, John A.; BECKMAN, William A.; BLAIR, Nathan.</w:t>
      </w:r>
      <w:r>
        <w:rPr>
          <w:rFonts w:ascii="Times New Roman" w:hAnsi="Times New Roman"/>
          <w:i w:val="0"/>
        </w:rPr>
        <w:t xml:space="preserve"> </w:t>
      </w:r>
      <w:r>
        <w:rPr>
          <w:bCs/>
          <w:rFonts w:ascii="Times New Roman" w:hAnsi="Times New Roman"/>
          <w:b/>
          <w:i w:val="0"/>
        </w:rPr>
        <w:t xml:space="preserve">Solar engineering of thermal processes, photovoltaics and wind</w:t>
      </w:r>
      <w:r>
        <w:rPr>
          <w:rFonts w:ascii="Times New Roman" w:hAnsi="Times New Roman"/>
          <w:i w:val="0"/>
        </w:rPr>
        <w:t xml:space="preserve">. 5. ed. Hoboken: Wiley, 2020. ISBN 9781119540311. DOI: https://doi.org/10.1002/9781119540328.</w:t>
      </w:r>
    </w:p>
    <w:p>
      <w:pPr>
        <w:pStyle w:val="BodyText"/>
        <w:widowControl/>
        <w:spacing w:line="264" w:lineRule="auto"/>
        <w:ind w:hanging="340" w:left="340"/>
        <w:jc w:val="left"/>
      </w:pPr>
      <w:r>
        <w:rPr>
          <w:rFonts w:ascii="Times New Roman" w:hAnsi="Times New Roman"/>
          <w:i w:val="0"/>
        </w:rPr>
        <w:t xml:space="preserve">NOAA GLOBAL MONITORING LABORATORY.</w:t>
      </w:r>
      <w:r>
        <w:rPr>
          <w:rFonts w:ascii="Times New Roman" w:hAnsi="Times New Roman"/>
          <w:i w:val="0"/>
        </w:rPr>
        <w:t xml:space="preserve"> </w:t>
      </w:r>
      <w:r>
        <w:rPr>
          <w:bCs/>
          <w:rFonts w:ascii="Times New Roman" w:hAnsi="Times New Roman"/>
          <w:b/>
          <w:i w:val="0"/>
        </w:rPr>
        <w:t xml:space="preserve">General solar position calculations</w:t>
      </w:r>
      <w:r>
        <w:rPr>
          <w:rFonts w:ascii="Times New Roman" w:hAnsi="Times New Roman"/>
          <w:i w:val="0"/>
        </w:rPr>
        <w:t xml:space="preserve">. [S. l.]: NOAA, [s. d.]. 2 p. Disponível em: https://gml.noaa.gov/grad/solcalc/solareqns.PDF. Acesso em: 27 out. 2026.</w:t>
      </w:r>
    </w:p>
    <w:p>
      <w:pPr>
        <w:pStyle w:val="BodyText"/>
        <w:widowControl/>
        <w:spacing w:line="264" w:lineRule="auto"/>
        <w:ind w:hanging="340" w:left="340"/>
        <w:jc w:val="left"/>
      </w:pPr>
      <w:r>
        <w:rPr>
          <w:rFonts w:ascii="Times New Roman" w:hAnsi="Times New Roman"/>
          <w:i w:val="0"/>
        </w:rPr>
        <w:t xml:space="preserve">PVLIB CONTRIBUTORS.</w:t>
      </w:r>
      <w:r>
        <w:rPr>
          <w:rFonts w:ascii="Times New Roman" w:hAnsi="Times New Roman"/>
          <w:i w:val="0"/>
        </w:rPr>
        <w:t xml:space="preserve"> </w:t>
      </w:r>
      <w:r>
        <w:rPr>
          <w:bCs/>
          <w:rFonts w:ascii="Times New Roman" w:hAnsi="Times New Roman"/>
          <w:b/>
          <w:i w:val="0"/>
        </w:rPr>
        <w:t xml:space="preserve">pvlib python: get_extra_radiation e spa_python</w:t>
      </w:r>
      <w:r>
        <w:rPr>
          <w:rFonts w:ascii="Times New Roman" w:hAnsi="Times New Roman"/>
          <w:i w:val="0"/>
        </w:rPr>
        <w:t xml:space="preserve">. Versão 0.16.1. 2026. Disponível em: https://pvlib-python.readthedocs.io/en/v0.16.1/reference/generated/pvlib.irradiance.get_extra_radiation.html. Acesso em: 27 out. 2026.</w:t>
      </w:r>
    </w:p>
    <w:p>
      <w:pPr>
        <w:pStyle w:val="BodyText"/>
        <w:widowControl/>
        <w:spacing w:line="264" w:lineRule="auto"/>
        <w:ind w:hanging="340" w:left="340"/>
        <w:jc w:val="left"/>
      </w:pPr>
      <w:r>
        <w:rPr>
          <w:rFonts w:ascii="Times New Roman" w:hAnsi="Times New Roman"/>
          <w:i w:val="0"/>
        </w:rPr>
        <w:t xml:space="preserve">REDA, Ibrahim; ANDREAS, Afshin. Solar position algorithm for solar radiation applications.</w:t>
      </w:r>
      <w:r>
        <w:rPr>
          <w:rFonts w:ascii="Times New Roman" w:hAnsi="Times New Roman"/>
          <w:i w:val="0"/>
        </w:rPr>
        <w:t xml:space="preserve"> </w:t>
      </w:r>
      <w:r>
        <w:rPr>
          <w:bCs/>
          <w:rFonts w:ascii="Times New Roman" w:hAnsi="Times New Roman"/>
          <w:b/>
          <w:i w:val="0"/>
        </w:rPr>
        <w:t xml:space="preserve">Solar Energy</w:t>
      </w:r>
      <w:r>
        <w:rPr>
          <w:rFonts w:ascii="Times New Roman" w:hAnsi="Times New Roman"/>
          <w:i w:val="0"/>
        </w:rPr>
        <w:t xml:space="preserve">, v. 76, n. 5, p. 577–589, 2004. DOI: https://doi.org/10.1016/j.solener.2003.12.003.</w:t>
      </w:r>
    </w:p>
    <w:p>
      <w:pPr>
        <w:pStyle w:val="BodyText"/>
        <w:widowControl/>
        <w:spacing w:line="264" w:lineRule="auto"/>
        <w:ind w:hanging="340" w:left="340"/>
        <w:jc w:val="left"/>
      </w:pPr>
      <w:r>
        <w:rPr>
          <w:rFonts w:ascii="Times New Roman" w:hAnsi="Times New Roman"/>
          <w:i w:val="0"/>
        </w:rPr>
        <w:t xml:space="preserve">REDA, Ibrahim; ANDREAS, Afshin.</w:t>
      </w:r>
      <w:r>
        <w:rPr>
          <w:rFonts w:ascii="Times New Roman" w:hAnsi="Times New Roman"/>
          <w:i w:val="0"/>
        </w:rPr>
        <w:t xml:space="preserve"> </w:t>
      </w:r>
      <w:r>
        <w:rPr>
          <w:bCs/>
          <w:rFonts w:ascii="Times New Roman" w:hAnsi="Times New Roman"/>
          <w:b/>
          <w:i w:val="0"/>
        </w:rPr>
        <w:t xml:space="preserve">Solar position algorithm for solar radiation applications</w:t>
      </w:r>
      <w:r>
        <w:rPr>
          <w:rFonts w:ascii="Times New Roman" w:hAnsi="Times New Roman"/>
          <w:i w:val="0"/>
        </w:rPr>
        <w:t xml:space="preserve">. Revised January 2008. Golden: National Renewable Energy Laboratory, 2008. Relatório NREL/TP-560-34302. DOI: https://doi.org/10.2172/15003974.</w:t>
      </w:r>
    </w:p>
    <w:p>
      <w:pPr>
        <w:pStyle w:val="BodyText"/>
        <w:widowControl/>
        <w:spacing w:line="264" w:lineRule="auto"/>
        <w:ind w:hanging="340" w:left="340"/>
        <w:jc w:val="left"/>
      </w:pPr>
      <w:r>
        <w:rPr>
          <w:rFonts w:ascii="Times New Roman" w:hAnsi="Times New Roman"/>
          <w:i w:val="0"/>
        </w:rPr>
        <w:t xml:space="preserve">SENGUPTA, Manajit et al. (ed.).</w:t>
      </w:r>
      <w:r>
        <w:rPr>
          <w:rFonts w:ascii="Times New Roman" w:hAnsi="Times New Roman"/>
          <w:i w:val="0"/>
        </w:rPr>
        <w:t xml:space="preserve"> </w:t>
      </w:r>
      <w:r>
        <w:rPr>
          <w:bCs/>
          <w:rFonts w:ascii="Times New Roman" w:hAnsi="Times New Roman"/>
          <w:b/>
          <w:i w:val="0"/>
        </w:rPr>
        <w:t xml:space="preserve">Best practices handbook for the collection and use of solar resource data for solar energy applications</w:t>
      </w:r>
      <w:r>
        <w:rPr>
          <w:rFonts w:ascii="Times New Roman" w:hAnsi="Times New Roman"/>
          <w:i w:val="0"/>
        </w:rPr>
        <w:t xml:space="preserve">. 4. ed. Golden: National Renewable Energy Laboratory, 2024. Relatório NREL/TP-5D00-88300. Disponível em: https://docs.nrel.gov/docs/fy24osti/88300.pdf. Acesso em: 27 out. 2026.</w:t>
      </w:r>
    </w:p>
    <w:p>
      <w:pPr>
        <w:pStyle w:val="BodyText"/>
        <w:widowControl/>
        <w:spacing w:line="264" w:lineRule="auto"/>
        <w:ind w:hanging="340" w:left="340"/>
        <w:jc w:val="left"/>
      </w:pPr>
      <w:r>
        <w:rPr>
          <w:rFonts w:ascii="Times New Roman" w:hAnsi="Times New Roman"/>
          <w:i w:val="0"/>
        </w:rPr>
        <w:t xml:space="preserve">TEIXEIRA, Samuel Constantino et al. </w:t>
      </w:r>
      <w:r>
        <w:rPr>
          <w:bCs/>
          <w:rFonts w:ascii="Times New Roman" w:hAnsi="Times New Roman"/>
          <w:b/>
          <w:i w:val="0"/>
        </w:rPr>
        <w:t xml:space="preserve">SPGER0046 Energias Renováveis: configuração e dados preparados do estudo PVDAQ 2107</w:t>
      </w:r>
      <w:r>
        <w:rPr>
          <w:rFonts w:ascii="Times New Roman" w:hAnsi="Times New Roman"/>
          <w:i w:val="0"/>
        </w:rPr>
        <w:t xml:space="preserve">. 2026. Repositório de trabalho. Dados utilizados: abril a junho de 2024. Disponível em: https://github.com/samuelasroma-byte/SPGER0046_Energias_Renovaveis. Acesso em: 27 out. 2026.</w:t>
      </w:r>
    </w:p>
    <w:bookmarkEnd w:id="28"/>
    <w:sectPr>
      <w:headerReference r:id="rId9" w:type="default"/>
      <w:pgSz w:h="16838" w:w="11906"/>
      <w:pgMar w:bottom="1134" w:header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2"/>
      </w:rPr>
    </w:r>
    <w:fldSimple w:instr="PAGE"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line="324" w:lineRule="auto"/>
      <w:ind w:firstLine="709"/>
      <w:jc w:val="both"/>
    </w:pPr>
    <w:rPr>
      <w:rFonts w:ascii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qFormat/>
    <w:pPr>
      <w:spacing w:after="140" w:before="180" w:line="324" w:lineRule="auto"/>
      <w:ind w:firstLine="709"/>
      <w:jc w:val="both"/>
    </w:pPr>
    <w:rPr>
      <w:rFonts w:ascii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40" w:line="324" w:lineRule="auto"/>
      <w:ind w:firstLine="709"/>
      <w:jc w:val="both"/>
    </w:pPr>
    <w:rPr>
      <w:rFonts w:ascii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240"/>
      <w:ind w:firstLine="0"/>
      <w:jc w:val="center"/>
    </w:pPr>
    <w:rPr>
      <w:rFonts w:ascii="Times New Roman" w:asciiTheme="majorHAnsi" w:cstheme="majorBidi" w:eastAsiaTheme="majorEastAsia" w:hAnsi="Times New Roman" w:hAnsiTheme="majorHAnsi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Heading1" w:type="paragraph">
    <w:name w:val="heading 1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32"/>
    </w:rPr>
  </w:style>
  <w:style w:customStyle="1" w:styleId="Heading2" w:type="paragraph">
    <w:name w:val="heading 2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28"/>
    </w:rPr>
  </w:style>
  <w:style w:customStyle="1" w:styleId="Heading3" w:type="paragraph">
    <w:name w:val="heading 3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2026-10-27T13:42:35Z</dcterms:created>
  <dcterms:modified xsi:type="dcterms:W3CDTF">2026-10-27T13:42:35Z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