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014f1691e529393d52d263f4b0350ff5a193b03"/>
    <w:p>
      <w:pPr>
        <w:pStyle w:val="Heading1"/>
        <w:ind w:firstLine="0"/>
      </w:pPr>
      <w:r>
        <w:t xml:space="preserve">1.1 Geometria solar e irradiância extraterrestre</w:t>
      </w:r>
    </w:p>
    <w:p>
      <w:pPr>
        <w:pStyle w:val="FirstParagraph"/>
      </w:pPr>
      <w:r>
        <w:t>SPGER0046 — Energias Renováveis | PPGER/UFPB</w:t>
        <w:br/>
        <w:t>Capítulo coletivo: Recurso solar e modelagem da conversão fotovoltaica</w:t>
        <w:br/>
        <w:t>Subseção 1.1 — versão para discussão e apresentação em 29 de outubro de 2026</w:t>
        <w:br/>
        <w:t>Convenções: azimute norte = 0°, sentido horário; instante de cálculo no meio do intervalo.</w:t>
      </w:r>
    </w:p>
    <w:bookmarkStart w:id="20" w:name="X53d79aed175e5e1eebb0072b027e4b86ca87bc1"/>
    <w:p>
      <w:pPr>
        <w:pStyle w:val="Heading2"/>
        <w:ind w:firstLine="0"/>
      </w:pPr>
      <w:r>
        <w:t xml:space="preserve">1.1.1 Problema físico e função da geometria solar</w:t>
      </w:r>
    </w:p>
    <w:p>
      <w:pPr>
        <w:pStyle w:val="FirstParagraph"/>
      </w:pPr>
      <w:r>
        <w:t xml:space="preserve">A caracterização do recurso solar exige distinguir a disponibilidade radiativa extraterrestre da irradiância efetivamente recebida por uma superfície terrestre. O movimento aparente do Sol define a direção instantânea de propagação da componente direta da radiação, enquanto a atmosfera e o entorno modificam o campo radiativo observado na superfície. Por essa razão, posição solar, irradiância extraterrestre e irradiância de superfície não são grandezas intercambiáveis. A geometria constitui uma</w:t>
      </w:r>
      <w:r>
        <w:t xml:space="preserve"> </w:t>
      </w:r>
      <w:r>
        <w:rPr>
          <w:i/>
          <w:iCs/>
        </w:rPr>
        <w:t xml:space="preserve">condição de contorno física</w:t>
      </w:r>
      <w:r>
        <w:t xml:space="preserve"> </w:t>
      </w:r>
      <w:r>
        <w:t xml:space="preserve">para a modelagem e a interpretação das observações, mas não determina, isoladamente, a irradiância medida. Essa distinção orienta a passagem da presente subseção para as componentes radiométricas (1.2) e para a modulação atmosférica (1.3) (DUFFIE; BECKMAN; BLAIR, 2020, cap. 1–2).</w:t>
      </w:r>
    </w:p>
    <w:p>
      <w:pPr>
        <w:pStyle w:val="BodyText"/>
      </w:pPr>
      <w:r>
        <w:t xml:space="preserve">A localização geográfica e o instante de observação são fundamentais. Para um ponto de latitude</w:t>
      </w:r>
      <w:r>
        <w:t xml:space="preserve"> </w:t>
      </w:r>
      <m:oMath>
        <m:r>
          <m:t>ϕ</m:t>
        </m:r>
      </m:oMath>
      <w:r>
        <w:t xml:space="preserve">, longitude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 tempo associado a uma escala definida, a direção solar aparente pode ser expressa por ângulos locais. Uma representação física coerente deve informar a convenção de azimute, o sistema de tempo e a posição do carimbo em relação ao intervalo da medição. Os algoritmos astronômicos, a exemplo do</w:t>
      </w:r>
      <w:r>
        <w:t xml:space="preserve"> </w:t>
      </w:r>
      <w:r>
        <w:rPr>
          <w:i/>
          <w:iCs/>
        </w:rPr>
        <w:t xml:space="preserve">Solar Position Algorithm</w:t>
      </w:r>
      <w:r>
        <w:t xml:space="preserve"> </w:t>
      </w:r>
      <w:r>
        <w:t xml:space="preserve">(SPA), formalizam essas transformações e permitem representar a posição do Sol por meio do ângulo zenital e do azimute (REDA; ANDREAS, 2004; 2008).</w:t>
      </w:r>
    </w:p>
    <w:bookmarkEnd w:id="20"/>
    <w:bookmarkStart w:id="24" w:name="ângulos-de-posição-solar"/>
    <w:p>
      <w:pPr>
        <w:pStyle w:val="Heading2"/>
        <w:ind w:firstLine="0"/>
      </w:pPr>
      <w:r>
        <w:t xml:space="preserve">1.1.2 Ângulos de posição solar</w:t>
      </w:r>
    </w:p>
    <w:p>
      <w:pPr>
        <w:pStyle w:val="FirstParagraph"/>
      </w:pPr>
      <w:r>
        <w:t xml:space="preserve">Sejam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a latitude geográfica [graus],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 declinação solar [graus],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 ângulo horário solar [graus] e</w:t>
      </w:r>
      <w:r>
        <w:t xml:space="preserve"> </w:t>
      </w:r>
      <m:oMath>
        <m:sSub>
          <m:e>
            <m:r>
              <m:t>θ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o ângulo zenital aparente ou geométrico, conforme a implementação e as correções adotadas [graus]. A relação geométrica esférica elementar é (E1.01):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sSub>
            <m:e>
              <m:r>
                <m:t>θ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ϕ</m:t>
          </m:r>
          <m:r>
            <m:rPr>
              <m:sty m:val="p"/>
            </m:rPr>
            <m:t>sin</m:t>
          </m:r>
          <m:r>
            <m:t>δ</m:t>
          </m:r>
          <m:r>
            <m:rPr>
              <m:sty m:val="p"/>
            </m:rPr>
            <m:t>+</m:t>
          </m:r>
          <m:r>
            <m:rPr>
              <m:sty m:val="p"/>
            </m:rPr>
            <m:t>cos</m:t>
          </m:r>
          <m:r>
            <m:t>ϕ</m:t>
          </m:r>
          <m:r>
            <m:rPr>
              <m:sty m:val="p"/>
            </m:rPr>
            <m:t>cos</m:t>
          </m:r>
          <m:r>
            <m:t>δ</m:t>
          </m:r>
          <m:r>
            <m:rPr>
              <m:sty m:val="p"/>
            </m:rPr>
            <m:t>cos</m:t>
          </m:r>
          <m:r>
            <m:t>ω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O ângulo</w:t>
      </w:r>
      <w:r>
        <w:t xml:space="preserve"> </w:t>
      </w:r>
      <m:oMath>
        <m:sSub>
          <m:e>
            <m:r>
              <m:t>θ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é medido entre a direção do Sol e a vertical local. A elevação solar</w:t>
      </w:r>
      <w:r>
        <w:t xml:space="preserve"> </w:t>
      </w:r>
      <m:oMath>
        <m:sSub>
          <m:e>
            <m:r>
              <m:t>α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corresponde ao ângulo entre a direção solar e o plano horizontal, de modo que</w:t>
      </w:r>
      <w:r>
        <w:t xml:space="preserve"> </w:t>
      </w:r>
      <m:oMath>
        <m:sSub>
          <m:e>
            <m:r>
              <m:t>α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z</m:t>
            </m:r>
          </m:sub>
        </m:sSub>
      </m:oMath>
      <w:r>
        <w:t xml:space="preserve">. Nessa formulação,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no meio-dia solar e, na aproximação usual de tempo solar verdadeiro, sua taxa é aproximadamente</w:t>
      </w:r>
      <w:r>
        <w:t xml:space="preserve"> </w:t>
      </w:r>
      <m:oMath>
        <m:sSup>
          <m:e>
            <m:r>
              <m:t>15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por hora, com valores negativos antes e positivos após o meio-dia solar. A declinação solar varia sazonalmente em função da posição orbital da Terra e da obliquidade do eixo terrestre (DUFFIE; BECKMAN; BLAIR, 2020, cap. 1).</w:t>
      </w:r>
    </w:p>
    <w:p>
      <w:pPr>
        <w:pStyle w:val="BodyText"/>
      </w:pPr>
      <w:r>
        <w:t xml:space="preserve">O</w:t>
      </w:r>
      <w:r>
        <w:t xml:space="preserve"> </w:t>
      </w:r>
      <w:r>
        <w:rPr>
          <w:b/>
          <w:bCs/>
        </w:rPr>
        <w:t xml:space="preserve">azimute solar</w:t>
      </w:r>
      <w:r>
        <w:t xml:space="preserve"> </w:t>
      </w:r>
      <w:r>
        <w:t xml:space="preserve">descreve a direção da projeção horizontal do vetor solar. Neste estudo, adota-se a convenção do norte geográfico como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sentido horário: leste</w:t>
      </w:r>
      <w:r>
        <w:t xml:space="preserve">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sul</w:t>
      </w:r>
      <w:r>
        <w:t xml:space="preserve"> </w:t>
      </w:r>
      <m:oMath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e oeste</w:t>
      </w:r>
      <w:r>
        <w:t xml:space="preserve"> </w:t>
      </w:r>
      <m:oMath>
        <m:sSup>
          <m:e>
            <m:r>
              <m:t>270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compatível com a configuração do caso PVDAQ e com Reda e Andreas (2004). Quando o Sol está exatamente no zênite, a direção azimutal é matematicamente indefinida, porque sua projeção horizontal se anula. Portanto, a condição</w:t>
      </w:r>
      <w:r>
        <w:t xml:space="preserve"> </w:t>
      </w:r>
      <m:oMath>
        <m:sSub>
          <m:e>
            <m:r>
              <m:t>θ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implica azimute igual a zero.</w:t>
      </w:r>
    </w:p>
    <w:p>
      <w:pPr>
        <w:pStyle w:val="CaptionedFigure"/>
      </w:pPr>
      <w:r>
        <w:drawing>
          <wp:inline>
            <wp:extent cx="5039999" cy="3470414"/>
            <wp:effectExtent b="0" l="0" r="0" t="0"/>
            <wp:docPr descr="Corte vertical ilustrativo da geometria solar local, com os ângulos zenital e de elevação. Fonte: elaboração própria a partir de Duffie, Beckman e Blair (2020). Representação esquemática, fora de escala." title="" id="22" name="Picture"/>
            <a:graphic>
              <a:graphicData uri="http://schemas.openxmlformats.org/drawingml/2006/picture">
                <pic:pic>
                  <pic:nvPicPr>
                    <pic:cNvPr descr="esquema_geometria_normal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470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ind w:firstLine="0"/>
        <w:jc w:val="center"/>
      </w:pPr>
      <w:r>
        <w:rPr>
          <w:sz w:val="20"/>
        </w:rPr>
        <w:t xml:space="preserve">Corte vertical ilustrativo da geometria solar local, com os ângulos zenital e de elevação. Fonte: elaboração própria a partir de Duffie, Beckman e Blair (2020). Representação esquemática, fora de escala.</w:t>
      </w:r>
    </w:p>
    <w:p>
      <w:pPr>
        <w:pStyle w:val="BodyText"/>
      </w:pPr>
      <w:r>
        <w:t xml:space="preserve">A equação (E1.01) fornece a relação geométrica fundamental; cálculos de alta precisão precisam de tratamentos adicionais, como efemérides, escala temporal, refração atmosférica e correções de coordenadas. Reda e Andreas (2004, p. 577–589) descrevem o SPA para estimar a posição solar com elevada precisão angular. A incerteza divulgada para o próprio algoritmo não deve ser confundida com a incerteza da irradiância ou a qualidade de um sensor terrestre.</w:t>
      </w:r>
    </w:p>
    <w:bookmarkEnd w:id="24"/>
    <w:bookmarkStart w:id="25" w:name="X87d7fd5ec4192080bad9a4568cd3aeae1bcce0f"/>
    <w:p>
      <w:pPr>
        <w:pStyle w:val="Heading2"/>
        <w:ind w:firstLine="0"/>
      </w:pPr>
      <w:r>
        <w:t xml:space="preserve">1.1.3 Irradiância extraterrestre e projeção horizontal</w:t>
      </w:r>
    </w:p>
    <w:p>
      <w:pPr>
        <w:pStyle w:val="FirstParagraph"/>
      </w:pPr>
      <w:r>
        <w:t xml:space="preserve">A irradiância extraterrestre normal, aqui denotada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  <m:r>
              <m:t>n</m:t>
            </m:r>
          </m:sub>
        </m:sSub>
      </m:oMath>
      <w:r>
        <w:t xml:space="preserve"> </w:t>
      </w:r>
      <w:r>
        <w:t xml:space="preserve">[W 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], representa o fluxo radiante por unidade de área perpendicular aos raios solares antes da interação atmosférica. Seu valor varia durante o ano devido à mudança da distância Terra–Sol. Uma representação conceitual dessa dependência é: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0</m:t>
              </m:r>
              <m:r>
                <m:t>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</m:sub>
          </m:sSub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r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t</m:t>
                          </m:r>
                        </m:e>
                      </m:d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na qual</w:t>
      </w:r>
      <w:r>
        <w:t xml:space="preserve"> </w:t>
      </w:r>
      <m:oMath>
        <m:sSub>
          <m:e>
            <m:r>
              <m:t>G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[W 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] é uma irradiância solar de referência na distância média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e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é a distância Terra–Sol no instante considerado. A relação explicita a lei geométrica do inverso do quadrado, sem substituir o tratamento orbital usado pela implementação computacional. Diferentes referências históricas adotam constantes solares de valores próximos, mas não idênticos; no manuscrito final, o valor numérico deve ser declarado de acordo com o algoritmo efetivamente utilizado (DUFFIE; BECKMAN; BLAIR, 2020, sec. 1.2–1.4).</w:t>
      </w:r>
    </w:p>
    <w:p>
      <w:pPr>
        <w:pStyle w:val="BodyText"/>
      </w:pPr>
      <w:r>
        <w:t xml:space="preserve">A projeção da irradiância normal sobre um plano horizontal produz a irradiância extraterrestre horizontal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  <m:r>
              <m:t>h</m:t>
            </m:r>
          </m:sub>
        </m:sSub>
      </m:oMath>
      <w:r>
        <w:t xml:space="preserve"> </w:t>
      </w:r>
      <w:r>
        <w:t xml:space="preserve">[W 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] (E1.02):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0</m:t>
              </m:r>
              <m:r>
                <m:t>h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0</m:t>
              </m:r>
              <m:r>
                <m:t>n</m:t>
              </m:r>
            </m:sub>
          </m:sSub>
          <m: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cos</m:t>
              </m:r>
              <m:sSub>
                <m:e>
                  <m:r>
                    <m:t>θ</m:t>
                  </m:r>
                </m:e>
                <m:sub>
                  <m:r>
                    <m:t>z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O operador</w:t>
      </w:r>
      <w:r>
        <w:t xml:space="preserve"> </w:t>
      </w:r>
      <m:oMath>
        <m:r>
          <m:rPr>
            <m:sty m:val="p"/>
          </m:rPr>
          <m:t>max</m:t>
        </m:r>
      </m:oMath>
      <w:r>
        <w:t xml:space="preserve"> </w:t>
      </w:r>
      <w:r>
        <w:t xml:space="preserve">explicita a ausência de contribuição solar direta quando o Sol está abaixo do horizonte geométrico. Durante o dia, a equação se reduz a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  <m:r>
              <m:t>h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  <m:r>
              <m:t>n</m:t>
            </m:r>
          </m:sub>
        </m:sSub>
        <m:r>
          <m:rPr>
            <m:sty m:val="p"/>
          </m:rPr>
          <m:t>cos</m:t>
        </m:r>
        <m:sSub>
          <m:e>
            <m:r>
              <m:t>θ</m:t>
            </m:r>
          </m:e>
          <m:sub>
            <m:r>
              <m:t>z</m:t>
            </m:r>
          </m:sub>
        </m:sSub>
      </m:oMath>
      <w:r>
        <w:t xml:space="preserve">. A dependência em cosseno é puramente geométrica: para o mesmo fluxo normal extraterrestre, a projeção na horizontal diminui à medida que o ângulo zenital aumenta. Isso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significa que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  <m:r>
              <m:t>h</m:t>
            </m:r>
          </m:sub>
        </m:sSub>
      </m:oMath>
      <w:r>
        <w:t xml:space="preserve"> </w:t>
      </w:r>
      <w:r>
        <w:t xml:space="preserve">seja a GHI observada, pois esta última sofre os efeitos de absorção, espalhamento, nuvens, aerossóis e das demais condições atmosféricas.</w:t>
      </w:r>
    </w:p>
    <w:p>
      <w:pPr>
        <w:pStyle w:val="BodyText"/>
      </w:pPr>
      <w:r>
        <w:t xml:space="preserve">Uma consequência importante é a impossibilidade de inferir a irradiância real de superfície apenas com posição solar e uma irradiância extraterrestre calculada. A decomposição entre a contribuição direta projetada e a radiação difusa no plano horizontal exige grandezas e hipóteses adicionais que pertencem à subseção 1.2.</w:t>
      </w:r>
    </w:p>
    <w:bookmarkEnd w:id="25"/>
    <w:bookmarkStart w:id="26" w:name="massa-de-ar-e-caminho-óptico"/>
    <w:p>
      <w:pPr>
        <w:pStyle w:val="Heading2"/>
        <w:ind w:firstLine="0"/>
      </w:pPr>
      <w:r>
        <w:t xml:space="preserve">1.1.4 Massa de ar e caminho óptico</w:t>
      </w:r>
    </w:p>
    <w:p>
      <w:pPr>
        <w:pStyle w:val="FirstParagraph"/>
      </w:pPr>
      <w:r>
        <w:t xml:space="preserve">A massa de ar relativa (</w:t>
      </w:r>
      <m:oMath>
        <m:r>
          <m:t>A</m:t>
        </m:r>
        <m:r>
          <m:t>M</m:t>
        </m:r>
      </m:oMath>
      <w:r>
        <w:t xml:space="preserve">) é um indicador do caminho óptico atravessado pela radiação direta em relação a uma direção vertical de referência. Em atmosfera plana e para ângulos zenitais moderados, uma aproximação geométrica é</w:t>
      </w:r>
      <w:r>
        <w:t xml:space="preserve"> </w:t>
      </w:r>
      <m:oMath>
        <m:r>
          <m:t>A</m:t>
        </m:r>
        <m:r>
          <m:t>M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cos</m:t>
        </m:r>
        <m:sSub>
          <m:e>
            <m:r>
              <m:t>θ</m:t>
            </m:r>
          </m:e>
          <m:sub>
            <m:r>
              <m:t>z</m:t>
            </m:r>
          </m:sub>
        </m:sSub>
      </m:oMath>
      <w:r>
        <w:t xml:space="preserve">. Sua interpretação física é útil: próximo ao horizonte, o trajeto atmosférico é, em geral, mais extenso, o que amplia as oportunidades de absorção e espalhamento. Entretanto, a aproximação secante perde validade para grandes ângulos zenitais. Para aplicações quantitativas, deve-se empregar uma parametrização de massa de ar apropriada, distinguindo a massa de ar relativa da absoluta e informando eventuais correções de pressão (DUFFIE; BECKMAN; BLAIR, 2020, cap. 2; SENGUPTA et al., 2024).</w:t>
      </w:r>
    </w:p>
    <w:p>
      <w:pPr>
        <w:pStyle w:val="BodyText"/>
      </w:pPr>
      <w:r>
        <w:t xml:space="preserve">Na apresentação didática de Gomes (2026, Aula 2), o ângulo zenital e a massa de ar aparecem associados à caracterização da radiação. Aqui esses elementos são retomados com as ressalvas de domínio necessárias à redação acadêmica; os slides da disciplina anterior são utilizados como apoio pedagógico, não como substituto das referências metodológicas primárias.</w:t>
      </w:r>
    </w:p>
    <w:bookmarkEnd w:id="26"/>
    <w:bookmarkStart w:id="30" w:name="articulação-com-o-caso-real-pvdaq-2107"/>
    <w:p>
      <w:pPr>
        <w:pStyle w:val="Heading2"/>
        <w:ind w:firstLine="0"/>
      </w:pPr>
      <w:r>
        <w:t xml:space="preserve">1.1.5 Articulação com o caso real PVDAQ 2107</w:t>
      </w:r>
    </w:p>
    <w:p>
      <w:pPr>
        <w:pStyle w:val="FirstParagraph"/>
      </w:pPr>
      <w:r>
        <w:t xml:space="preserve">O estudo coletivo adota o sistema</w:t>
      </w:r>
      <w:r>
        <w:t xml:space="preserve"> </w:t>
      </w:r>
      <w:r>
        <w:rPr>
          <w:b/>
          <w:bCs/>
        </w:rPr>
        <w:t xml:space="preserve">Farm Solar Array — PVDAQ 2107</w:t>
      </w:r>
      <w:r>
        <w:t xml:space="preserve">, localizado em Arbuckle, Califórnia, nas coordenadas aproximadamente</w:t>
      </w:r>
      <w:r>
        <w:t xml:space="preserve"> </w:t>
      </w:r>
      <m:oMath>
        <m:r>
          <m:t>38</m:t>
        </m:r>
        <m:r>
          <m:rPr>
            <m:sty m:val="p"/>
          </m:rPr>
          <m:t>,</m:t>
        </m:r>
        <m:sSup>
          <m:e>
            <m:r>
              <m:t>996306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N e</w:t>
      </w:r>
      <w:r>
        <w:t xml:space="preserve"> </w:t>
      </w:r>
      <m:oMath>
        <m:r>
          <m:t>122</m:t>
        </m:r>
        <m:r>
          <m:rPr>
            <m:sty m:val="p"/>
          </m:rPr>
          <m:t>,</m:t>
        </m:r>
        <m:sSup>
          <m:e>
            <m:r>
              <m:t>134111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O. A janela analisada é de</w:t>
      </w:r>
      <w:r>
        <w:t xml:space="preserve"> </w:t>
      </w:r>
      <w:r>
        <w:rPr>
          <w:b/>
          <w:bCs/>
        </w:rPr>
        <w:t xml:space="preserve">1º de abril a 30 de junho de 2024</w:t>
      </w:r>
      <w:r>
        <w:t xml:space="preserve">, com 91 dias, no fuso local</w:t>
      </w:r>
      <w:r>
        <w:t xml:space="preserve"> </w:t>
      </w:r>
      <w:r>
        <w:rPr>
          <w:i/>
          <w:iCs/>
        </w:rPr>
        <w:t xml:space="preserve">America/Los_Angeles</w:t>
      </w:r>
      <w:r>
        <w:t xml:space="preserve">. A configuração do projeto registra a posição do Sol pelo SPA, aplicada ao meio do intervalo temporal correspondente, e utiliza a irradiância medida no plano do arranjo (</w:t>
      </w:r>
      <w:r>
        <w:rPr>
          <w:i/>
          <w:iCs/>
        </w:rPr>
        <w:t xml:space="preserve">plane of array</w:t>
      </w:r>
      <w:r>
        <w:t xml:space="preserve">, POA). As curvas de geometria e irradiância abaixo ilustram o dia 17 de maio de 2024 no horário local, conforme a coleção gráfica identificada como G01.</w:t>
      </w:r>
    </w:p>
    <w:p>
      <w:pPr>
        <w:pStyle w:val="CaptionedFigure"/>
      </w:pPr>
      <w:r>
        <w:drawing>
          <wp:inline>
            <wp:extent cx="4679999" cy="4605899"/>
            <wp:effectExtent b="0" l="0" r="0" t="0"/>
            <wp:docPr descr="Irradiância POA medida e ângulos de geometria calculados no PVDAQ 2107 (17/05/2024, horário local). Fonte: elaboração da equipe a partir do PVDAQ 2107 (dados de 2024; gráfico produzido em 2026). A curva POA é observacional; os ângulos são calculados." title="" id="28" name="Picture"/>
            <a:graphic>
              <a:graphicData uri="http://schemas.openxmlformats.org/drawingml/2006/picture">
                <pic:pic>
                  <pic:nvPicPr>
                    <pic:cNvPr descr="/mnt/data/G01_normal_preview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4605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ind w:firstLine="0"/>
        <w:jc w:val="center"/>
      </w:pPr>
      <w:r>
        <w:rPr>
          <w:sz w:val="20"/>
        </w:rPr>
        <w:t xml:space="preserve">Irradiância POA medida e ângulos de geometria calculados no PVDAQ 2107 (17/05/2024, horário local). Fonte: elaboração da equipe a partir do PVDAQ 2107 (dados de 2024; gráfico produzido em 2026). A curva POA é observacional; os ângulos são calculados.</w:t>
      </w:r>
    </w:p>
    <w:p>
      <w:pPr>
        <w:pStyle w:val="BodyText"/>
      </w:pPr>
      <w:r>
        <w:t xml:space="preserve">O gráfico reúne</w:t>
      </w:r>
      <w:r>
        <w:t xml:space="preserve"> </w:t>
      </w:r>
      <w:r>
        <w:rPr>
          <w:b/>
          <w:bCs/>
        </w:rPr>
        <w:t xml:space="preserve">naturezas distintas de informação</w:t>
      </w:r>
      <w:r>
        <w:t xml:space="preserve">. A curva POA provém da instrumentação local, enquanto os ângulos zenital e de incidência são calculados. O mínimo diurno do ângulo zenital coincide aproximadamente com o período de maior altura solar, mas a proximidade temporal do máximo de POA não constitui, por si só, uma validação independente do algoritmo astronômico. A figura também representa um exemplo diário, e não a distribuição climatológica do recurso solar.</w:t>
      </w:r>
    </w:p>
    <w:p>
      <w:pPr>
        <w:pStyle w:val="BodyText"/>
      </w:pPr>
      <w:r>
        <w:t xml:space="preserve">O sistema PVDAQ disponibiliza irradiância POA, mas</w:t>
      </w:r>
      <w:r>
        <w:t xml:space="preserve"> </w:t>
      </w:r>
      <w:r>
        <w:rPr>
          <w:b/>
          <w:bCs/>
        </w:rPr>
        <w:t xml:space="preserve">não disponibiliza, neste conjunto selecionado, séries locais medidas e independentes de GHI, DNI e DHI</w:t>
      </w:r>
      <w:r>
        <w:t xml:space="preserve">. Essas componentes não devem ser apresentadas como medições observadas; eventuais reconstruções por transposição inversa constituem análises exploratórias, discutidas separadamente. A orientação fixa do arranjo é de</w:t>
      </w:r>
      <w:r>
        <w:t xml:space="preserve"> </w:t>
      </w: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de inclinação e azimute</w:t>
      </w:r>
      <w:r>
        <w:t xml:space="preserve"> </w:t>
      </w:r>
      <m:oMath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(norte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sentido horário), mas o detalhamento da montagem e a transposição para a POA pertencem às seções 2.4 e 3.1, respectivamente.</w:t>
      </w:r>
    </w:p>
    <w:bookmarkEnd w:id="30"/>
    <w:bookmarkStart w:id="32" w:name="síntese-e-limites"/>
    <w:p>
      <w:pPr>
        <w:pStyle w:val="Heading2"/>
        <w:ind w:firstLine="0"/>
      </w:pPr>
      <w:r>
        <w:t xml:space="preserve">1.1.6 Síntese e limites</w:t>
      </w:r>
    </w:p>
    <w:p>
      <w:pPr>
        <w:pStyle w:val="FirstParagraph"/>
      </w:pPr>
      <w:r>
        <w:t xml:space="preserve">A posição solar define a direção de incidência da componente direta e fornece o fator geométrico de projeção entre irradiância normal e horizontal. A irradiância extraterrestre estabelece uma referência física anterior à atenuação atmosférica. A passagem da geometria para o recurso disponível em superfície exige, entretanto, informação radiométrica adicional e descrição explícita de suas condições de observação. Assim, a subseção 1.1 estabelece os ângulos, o tempo e o referencial geométrico que serão empregados em 1.2 a 1.4 e compartilhados com o estudo fotovoltaico da equipe.</w:t>
      </w:r>
    </w:p>
    <w:bookmarkStart w:id="31" w:name="quadro-de-conceitos-e-convenções"/>
    <w:p>
      <w:pPr/>
      <w:r>
        <w:rPr>
          <w:b/>
        </w:rPr>
        <w:t>1.1.7 Rastreabilidade do procedimento computacional</w:t>
      </w:r>
    </w:p>
    <w:p>
      <w:pPr/>
      <w:r>
        <w:rPr>
          <w:b w:val="0"/>
        </w:rPr>
        <w:t>Os ângulos de posição solar foram especificados para cálculo com o Solar Position Algorithm (SPA) descrito por Reda e Andreas (2004, 2008). Sua implementação deve registrar latitude, longitude, altitude, carimbo temporal e fuso, além da convenção de orientação. A irradiância extraterrestre normal é tratada separadamente pelo fator de distância Terra–Sol, que no procedimento computacional do grupo segue Spencer via pvlib. O SPA determina a posição do Sol; Spencer ajusta a irradiância extraterrestre normal. As duas funções não estimam, por si, a GHI observada na superfície.</w:t>
      </w:r>
    </w:p>
    <w:p>
      <w:pPr/>
      <w:r>
        <w:rPr>
          <w:b w:val="0"/>
        </w:rPr>
        <w:t>O caso PVDAQ 2107 utiliza 38,996306° N, 122,134111° O e altitude documentada de 10 m; o trimestre é 01/04 a 30/06/2024 (horário local America/Los_Angeles). O projeto considera o rótulo temporal como início do intervalo e calcula a posição solar no ponto médio. A Figura G01 apresenta POA medida e ângulos calculados em 17/05/2024; a correspondência gráfica entre curvas não demonstra uma relação causal isolada nem valida os sensores.</w:t>
      </w:r>
    </w:p>
    <w:p>
      <w:pPr/>
      <w:r>
        <w:rPr>
          <w:b w:val="0"/>
        </w:rPr>
        <w:t>O controle bibliográfico da subseção contempla B12, B19, B23, B29, B31 e B32. A edição B19 (Kalogirou, 2014) permanece sem texto integral conferido e não é usada como evidência direta nesta redação. O artigo de 2004 e o relatório de 2008 de Reda e Andreas são fontes distintas. A revisão sistêmica em sete lentes continua sujeita a cotejo por páginas e à aprovação humana das evidências.</w:t>
      </w:r>
    </w:p>
    <w:p>
      <w:pPr>
        <w:pStyle w:val="Heading3"/>
        <w:ind w:firstLine="0"/>
      </w:pPr>
      <w:r>
        <w:t xml:space="preserve">Quadro de conceitos e convenções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Símbolo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Grandeza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Unidade / convenção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m:oMath>
              <m:r>
                <m:t>ϕ</m:t>
              </m:r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Latitude geográfica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graus; norte positivo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m:oMath>
              <m:r>
                <m:t>δ</m:t>
              </m:r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Declinação solar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graus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m:oMath>
              <m:r>
                <m:t>ω</m:t>
              </m:r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Ângulo horário solar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graus; 0° ao meio-dia solar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m:oMath>
              <m:sSub>
                <m:e>
                  <m:r>
                    <m:t>θ</m:t>
                  </m:r>
                </m:e>
                <m:sub>
                  <m:r>
                    <m:t>z</m:t>
                  </m:r>
                </m:sub>
              </m:sSub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Ângulo zenital solar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graus; 0° no zênite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m:oMath>
              <m:sSub>
                <m:e>
                  <m:r>
                    <m:t>α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Elevação solar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graus;</w:t>
            </w:r>
            <w:r>
              <w:rPr>
                <w:sz w:val="20"/>
              </w:rPr>
              <w:t xml:space="preserve"> </w:t>
            </w:r>
            <m:oMath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z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Irradiância extraterrestre normal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W/m²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  <m:r>
                    <m:t>h</m:t>
                  </m:r>
                </m:sub>
              </m:sSub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Irradiância extraterrestre horizontal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W/m²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POA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Irradiância no plano dos módulos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W/m²; observada no PVDAQ</w:t>
            </w:r>
          </w:p>
        </w:tc>
      </w:tr>
    </w:tbl>
    <w:bookmarkEnd w:id="31"/>
    <w:bookmarkEnd w:id="32"/>
    <w:bookmarkStart w:id="33" w:name="referências-utilizadas"/>
    <w:p>
      <w:pPr/>
      <w:r>
        <w:rPr>
          <w:b/>
        </w:rPr>
        <w:t>Critérios de validade e transição para 1.2</w:t>
      </w:r>
    </w:p>
    <w:p>
      <w:pPr/>
      <w:r>
        <w:rPr>
          <w:b w:val="0"/>
        </w:rPr>
        <w:t>A irradiância extraterrestre horizontal G₀h [W m⁻²] é calculada pela projeção da irradiância normal G₀n [W m⁻²] no plano horizontal, para o Sol acima do horizonte. GHI [W m⁻²] é outra grandeza: a irradiância global horizontal na superfície, modificada por absorção, espalhamento e nuvens. POA [W m⁻²] representa um plano inclinado e, no PVDAQ 2107, é a medição que alimenta a cadeia principal. Essas distinções fundamentam a subseção 1.2 e evitam substituir observações por cálculos.</w:t>
      </w:r>
    </w:p>
    <w:p>
      <w:pPr>
        <w:pStyle w:val="Heading2"/>
        <w:pageBreakBefore/>
        <w:ind w:firstLine="0"/>
      </w:pPr>
      <w:r>
        <w:t xml:space="preserve">Referências utilizadas</w:t>
      </w:r>
    </w:p>
    <w:p>
      <w:pPr>
        <w:pStyle w:val="FirstParagraph"/>
        <w:spacing w:line="240" w:lineRule="auto" w:after="120"/>
        <w:ind w:firstLine="0"/>
        <w:jc w:val="left"/>
      </w:pPr>
      <w:r>
        <w:t xml:space="preserve">DELINE, C. et al. </w:t>
      </w:r>
      <w:r>
        <w:rPr>
          <w:b/>
          <w:bCs/>
        </w:rPr>
        <w:t xml:space="preserve">Photovoltaic Data Acquisition (PVDAQ) Public Datasets</w:t>
      </w:r>
      <w:r>
        <w:t xml:space="preserve">. NREL/OEDI, 2021. DOI: https://doi.org/10.25984/1846021. (Dados utilizados: abril a junho de 2024.)</w:t>
      </w:r>
    </w:p>
    <w:p>
      <w:pPr>
        <w:pStyle w:val="BodyText"/>
        <w:spacing w:line="240" w:lineRule="auto" w:after="120"/>
        <w:ind w:firstLine="0"/>
        <w:jc w:val="left"/>
      </w:pPr>
      <w:r>
        <w:t xml:space="preserve">DUFFIE, J. A.; BECKMAN, W. A.; BLAIR, N.</w:t>
      </w:r>
      <w:r>
        <w:t xml:space="preserve"> </w:t>
      </w:r>
      <w:r>
        <w:rPr>
          <w:b/>
          <w:bCs/>
        </w:rPr>
        <w:t xml:space="preserve">Solar Engineering of Thermal Processes, Photovoltaics and Wind</w:t>
      </w:r>
      <w:r>
        <w:t xml:space="preserve">. 5. ed. Hoboken: Wiley, 2020. DOI: https://doi.org/10.1002/9781119540328.</w:t>
      </w:r>
    </w:p>
    <w:p>
      <w:pPr>
        <w:pStyle w:val="BodyText"/>
        <w:spacing w:line="240" w:lineRule="auto" w:after="120"/>
        <w:ind w:firstLine="0"/>
        <w:jc w:val="left"/>
      </w:pPr>
      <w:r>
        <w:t xml:space="preserve">GOMES, F. S. V.</w:t>
      </w:r>
      <w:r>
        <w:t xml:space="preserve"> </w:t>
      </w:r>
      <w:r>
        <w:rPr>
          <w:b/>
          <w:bCs/>
        </w:rPr>
        <w:t xml:space="preserve">Conceitos básicos — Aula 2: Energia Solar</w:t>
      </w:r>
      <w:r>
        <w:t xml:space="preserve">. Material didático da disciplina SPGER0052, PPGER/UFPB, 2026. 82 slides. Material de apoio ao estudo.</w:t>
      </w:r>
    </w:p>
    <w:p>
      <w:pPr>
        <w:pStyle w:val="BodyText"/>
        <w:spacing w:line="240" w:lineRule="auto" w:after="120"/>
        <w:ind w:firstLine="0"/>
        <w:jc w:val="left"/>
      </w:pPr>
      <w:r>
        <w:t xml:space="preserve">REDA, I.; ANDREAS, A. Solar position algorithm for solar radiation applications.</w:t>
      </w:r>
      <w:r>
        <w:t xml:space="preserve"> </w:t>
      </w:r>
      <w:r>
        <w:rPr>
          <w:b/>
          <w:bCs/>
        </w:rPr>
        <w:t xml:space="preserve">Solar Energy</w:t>
      </w:r>
      <w:r>
        <w:t xml:space="preserve">, v. 76, n. 5, p. 577–589, 2004. DOI: https://doi.org/10.1016/j.solener.2003.12.003.</w:t>
      </w:r>
    </w:p>
    <w:p>
      <w:pPr>
        <w:pStyle w:val="BodyText"/>
        <w:spacing w:line="240" w:lineRule="auto" w:after="120"/>
        <w:ind w:firstLine="0"/>
        <w:jc w:val="left"/>
      </w:pPr>
      <w:r>
        <w:t xml:space="preserve">REDA, I.; ANDREAS, A.</w:t>
      </w:r>
      <w:r>
        <w:t xml:space="preserve"> </w:t>
      </w:r>
      <w:r>
        <w:rPr>
          <w:b/>
          <w:bCs/>
        </w:rPr>
        <w:t xml:space="preserve">Solar Position Algorithm for Solar Radiation Applications</w:t>
      </w:r>
      <w:r>
        <w:t xml:space="preserve">. Revised Jan. 2008. Golden: NREL, 2008. Relatório NREL/TP-560-34302.</w:t>
      </w:r>
    </w:p>
    <w:p>
      <w:pPr>
        <w:pStyle w:val="BodyText"/>
        <w:spacing w:line="240" w:lineRule="auto" w:after="120"/>
        <w:ind w:firstLine="0"/>
        <w:jc w:val="left"/>
      </w:pPr>
      <w:r>
        <w:t xml:space="preserve">SENGUPTA, M. et al. </w:t>
      </w:r>
      <w:r>
        <w:rPr>
          <w:b/>
          <w:bCs/>
        </w:rPr>
        <w:t xml:space="preserve">Best Practices Handbook for the Collection and Use of Solar Resource Data for Solar Energy Applications</w:t>
      </w:r>
      <w:r>
        <w:t xml:space="preserve">. 4. ed. NREL, 2024. Relatório NREL/TP-5D00-88300.</w:t>
      </w:r>
    </w:p>
    <w:bookmarkEnd w:id="33"/>
    <w:bookmarkEnd w:id="34"/>
    <w:p>
      <w:r>
        <w:t>NOAA GLOBAL MONITORING LABORATORY. General Solar Position Calculations. Documento técnico, s.d. Disponível em: https://gml.noaa.gov/grad/solcalc/solareqns.PDF.</w:t>
      </w:r>
    </w:p>
    <w:p>
      <w:r>
        <w:t>PVLIB CONTRIBUTORS. get_extra_radiation: método Spencer. Documentação pvlib-python, versão do projeto 0.16.1. Disponível em: https://pvlib-python.readthedocs.io/en/v0.16.1/reference/generated/pvlib.irradiance.get_extra_radiation.html.</w:t>
      </w:r>
    </w:p>
    <w:sectPr>
      <w:pgSz w:h="16838" w:w="11906"/>
      <w:pgMar w:top="1474" w:left="1701" w:right="1134" w:bottom="13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36" w:lineRule="auto" w:after="80"/>
      <w:ind w:firstLine="709"/>
    </w:pPr>
    <w:rPr>
      <w:rFonts w:ascii="Liberation Serif" w:hAnsi="Liberation Serif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7" Type="http://schemas.openxmlformats.org/officeDocument/2006/relationships/image" Target="media/rId27.png"/><Relationship Id="rId21" Type="http://schemas.openxmlformats.org/officeDocument/2006/relationships/image" Target="media/rId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2026-10-26T16:42:51Z</dcterms:created>
  <dcterms:modified xsi:type="dcterms:W3CDTF">2026-10-26T16:42:51Z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