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014f1691e529393d52d263f4b0350ff5a193b03"/>
    <w:p>
      <w:pPr>
        <w:pStyle w:val="Heading1"/>
        <w:widowControl/>
        <w:ind w:firstLine="0"/>
      </w:pPr>
      <w:r>
        <w:rPr>
          <w:b/>
        </w:rPr>
        <w:t>1.1 GEOMETRIA SOLAR E IRRADIÂNCIA EXTRATERRESTRE</w:t>
      </w:r>
    </w:p>
    <w:p>
      <w:pPr>
        <w:pStyle w:val="FirstParagraph"/>
        <w:widowControl/>
        <w:ind w:firstLine="0"/>
        <w:jc w:val="left"/>
      </w:pPr>
      <w:r>
        <w:rPr>
          <w:rFonts w:ascii="Times New Roman" w:hAnsi="Times New Roman"/>
          <w:i w:val="0"/>
        </w:rPr>
        <w:t>SPGER0046 — Energias Renováveis | PPGER/UFPB</w:t>
        <w:br/>
        <w:t>Capítulo: Recurso solar e modelagem da conversão fotovoltaica</w:t>
        <w:br/>
        <w:t>Samuel Constantino Teixeira</w:t>
        <w:br/>
        <w:t>Convenções: norte 0°, sentido horário; geometria no ponto médio de cada intervalo.</w:t>
      </w:r>
    </w:p>
    <w:bookmarkStart w:id="20" w:name="X53d79aed175e5e1eebb0072b027e4b86ca87bc1"/>
    <w:p>
      <w:pPr>
        <w:pStyle w:val="Heading2"/>
        <w:widowControl/>
        <w:ind w:firstLine="0"/>
      </w:pPr>
      <w:r>
        <w:rPr>
          <w:b/>
        </w:rPr>
        <w:t>1.1.1 PROBLEMA FÍSICO E FUNÇÃO DA GEOMETRIA SOLAR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caracterização do recurso solar exige distinguir a disponibilidade radiativa extraterrestre da irradiância efetivamente recebida por uma superfície terrestre. O movimento aparente do Sol define a direção instantânea de propagação da componente direta da radiação, enquanto a atmosfera e o entorno modificam o campo radiativo observado na superfície. Por essa razão, posição solar, irradiância extraterrestre e irradiância de superfície não são grandezas intercambiáveis. A geometria constitui uma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  <w:iCs/>
        </w:rPr>
        <w:t xml:space="preserve">condição de contorno física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para a modelagem e a interpretação das observações, mas não determina, isoladamente, a irradiância medida. Essa distinção orienta a passagem da presente subseção para as componentes radiométricas (1.2) e para a modulação atmosférica (1.3) (DUFFIE; BECKMAN; BLAIR, 2020, p. 9–15).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localização geográfica e o instante de observação são fundamentais. Para um ponto de latitude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ϕ</m:t>
        </m:r>
      </m:oMath>
      <w:r>
        <w:rPr>
          <w:rFonts w:ascii="Times New Roman" w:hAnsi="Times New Roman"/>
          <w:i w:val="0"/>
        </w:rPr>
        <w:t xml:space="preserve">, longitude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λ</m:t>
        </m:r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e tempo associado a uma escala definida, a direção solar aparente pode ser expressa por ângulos locais. Uma representação física coerente deve informar a convenção de azimute, o sistema de tempo e a posição do carimbo em relação ao intervalo da medição. Os algoritmos astronômicos, a exemplo do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  <w:iCs/>
        </w:rPr>
        <w:t xml:space="preserve">Solar Position Algorithm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(SPA), formalizam essas transformações e permitem representar a posição do Sol por meio do ângulo zenital e do azimute (REDA; ANDREAS, 2004; 2008).</w:t>
      </w:r>
    </w:p>
    <w:bookmarkEnd w:id="20"/>
    <w:bookmarkStart w:id="24" w:name="ângulos-de-posição-solar"/>
    <w:p>
      <w:pPr>
        <w:pStyle w:val="Heading2"/>
        <w:widowControl/>
        <w:ind w:firstLine="0"/>
      </w:pPr>
      <w:r>
        <w:rPr>
          <w:b/>
        </w:rPr>
        <w:t>1.1.2 ÂNGULOS DE POSIÇÃO SOLAR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Sejam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ϕ</m:t>
        </m:r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a latitude geográfica [graus],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δ</m:t>
        </m:r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a declinação solar [graus],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ω</m:t>
        </m:r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o ângulo horário solar [graus] e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θ</m:t>
            </m:r>
          </m:e>
          <m:sub>
            <m:r>
              <w:rPr>
                <w:sz w:val="28"/>
              </w:rPr>
              <m:t>z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o ângulo zenital geométrico, sem correção de refração atmosférica [graus]. A relação geométrica esférica elementar é (E1.01):</w:t>
      </w:r>
    </w:p>
    <w:p>
      <w:pPr>
        <w:pStyle w:val="BodyText"/>
        <w:widowControl/>
        <w:spacing w:before="120" w:after="140"/>
        <w:ind w:firstLine="0"/>
        <w:jc w:val="center"/>
      </w:pPr>
      <m:oMathPara>
        <m:oMathParaPr>
          <m:jc m:val="center"/>
        </m:oMathParaPr>
        <m:oMath>
          <m:r>
            <w:rPr>
              <w:sz w:val="28"/>
            </w:rPr>
            <m:rPr>
              <m:sty m:val="p"/>
            </m:rPr>
            <m:t>cos</m:t>
          </m:r>
          <m:sSub>
            <m:e>
              <m:r>
                <w:rPr>
                  <w:sz w:val="28"/>
                </w:rPr>
                <m:t>θ</m:t>
              </m:r>
            </m:e>
            <m:sub>
              <m:r>
                <w:rPr>
                  <w:sz w:val="28"/>
                </w:rPr>
                <m:t>z</m:t>
              </m:r>
            </m:sub>
          </m:sSub>
          <m:r>
            <w:rPr>
              <w:sz w:val="28"/>
            </w:rPr>
            <m:rPr>
              <m:sty m:val="p"/>
            </m:rPr>
            <m:t>=</m:t>
          </m:r>
          <m:r>
            <w:rPr>
              <w:sz w:val="28"/>
            </w:rPr>
            <m:rPr>
              <m:sty m:val="p"/>
            </m:rPr>
            <m:t>sin</m:t>
          </m:r>
          <m:r>
            <w:rPr>
              <w:sz w:val="28"/>
            </w:rPr>
            <m:t>ϕ</m:t>
          </m:r>
          <m:r>
            <w:rPr>
              <w:sz w:val="28"/>
            </w:rPr>
            <m:rPr>
              <m:sty m:val="p"/>
            </m:rPr>
            <m:t>sin</m:t>
          </m:r>
          <m:r>
            <w:rPr>
              <w:sz w:val="28"/>
            </w:rPr>
            <m:t>δ</m:t>
          </m:r>
          <m:r>
            <w:rPr>
              <w:sz w:val="28"/>
            </w:rPr>
            <m:rPr>
              <m:sty m:val="p"/>
            </m:rPr>
            <m:t>+</m:t>
          </m:r>
          <m:r>
            <w:rPr>
              <w:sz w:val="28"/>
            </w:rPr>
            <m:rPr>
              <m:sty m:val="p"/>
            </m:rPr>
            <m:t>cos</m:t>
          </m:r>
          <m:r>
            <w:rPr>
              <w:sz w:val="28"/>
            </w:rPr>
            <m:t>ϕ</m:t>
          </m:r>
          <m:r>
            <w:rPr>
              <w:sz w:val="28"/>
            </w:rPr>
            <m:rPr>
              <m:sty m:val="p"/>
            </m:rPr>
            <m:t>cos</m:t>
          </m:r>
          <m:r>
            <w:rPr>
              <w:sz w:val="28"/>
            </w:rPr>
            <m:t>δ</m:t>
          </m:r>
          <m:r>
            <w:rPr>
              <w:sz w:val="28"/>
            </w:rPr>
            <m:rPr>
              <m:sty m:val="p"/>
            </m:rPr>
            <m:t>cos</m:t>
          </m:r>
          <m:r>
            <w:rPr>
              <w:sz w:val="28"/>
            </w:rPr>
            <m:t>ω</m:t>
          </m:r>
          <m:r>
            <w:rPr>
              <w:sz w:val="28"/>
            </w:rP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O ângulo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θ</m:t>
            </m:r>
          </m:e>
          <m:sub>
            <m:r>
              <w:rPr>
                <w:sz w:val="28"/>
              </w:rPr>
              <m:t>z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é medido entre a direção do Sol e a vertical local. A elevação solar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α</m:t>
            </m:r>
          </m:e>
          <m:sub>
            <m:r>
              <w:rPr>
                <w:sz w:val="28"/>
              </w:rPr>
              <m:t>s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corresponde ao ângulo entre a direção solar e o plano horizontal, de modo que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α</m:t>
            </m:r>
          </m:e>
          <m:sub>
            <m:r>
              <w:rPr>
                <w:sz w:val="28"/>
              </w:rPr>
              <m:t>s</m:t>
            </m:r>
          </m:sub>
        </m:sSub>
        <m:r>
          <w:rPr>
            <w:sz w:val="28"/>
          </w:rPr>
          <m:rPr>
            <m:sty m:val="p"/>
          </m:rPr>
          <m:t>=</m:t>
        </m:r>
        <m:sSup>
          <m:e>
            <m:r>
              <w:rPr>
                <w:sz w:val="28"/>
              </w:rPr>
              <m:t>90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  <m:r>
          <w:rPr>
            <w:sz w:val="28"/>
          </w:rPr>
          <m:rPr>
            <m:sty m:val="p"/>
          </m:rPr>
          <m:t>−</m:t>
        </m:r>
        <m:sSub>
          <m:e>
            <m:r>
              <w:rPr>
                <w:sz w:val="28"/>
              </w:rPr>
              <m:t>θ</m:t>
            </m:r>
          </m:e>
          <m:sub>
            <m:r>
              <w:rPr>
                <w:sz w:val="28"/>
              </w:rPr>
              <m:t>z</m:t>
            </m:r>
          </m:sub>
        </m:sSub>
      </m:oMath>
      <w:r>
        <w:rPr>
          <w:rFonts w:ascii="Times New Roman" w:hAnsi="Times New Roman"/>
          <w:i w:val="0"/>
        </w:rPr>
        <w:t xml:space="preserve">. Nessa formulação,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ω</m:t>
        </m:r>
        <m:r>
          <w:rPr>
            <w:sz w:val="28"/>
          </w:rPr>
          <m:rPr>
            <m:sty m:val="p"/>
          </m:rPr>
          <m:t>=</m:t>
        </m:r>
        <m:sSup>
          <m:e>
            <m:r>
              <w:rPr>
                <w:sz w:val="28"/>
              </w:rPr>
              <m:t>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no meio-dia solar e, na aproximação usual de tempo solar verdadeiro, sua taxa é aproximadamente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15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por hora, com valores negativos antes e positivos após o meio-dia solar. A declinação solar varia sazonalmente em função da posição orbital da Terra e da obliquidade do eixo terrestre (DUFFIE; BECKMAN; BLAIR, 2020, p. 13–15).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O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b/>
          <w:bCs/>
          <w:i w:val="0"/>
        </w:rPr>
        <w:t xml:space="preserve">azimute solar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descreve a direção da projeção horizontal do vetor solar. Neste estudo, adota-se a convenção do norte geográfico como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, sentido horário: leste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90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, sul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180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e oeste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270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, compatível com a configuração do caso PVDAQ e com Reda e Andreas (2004). Quando o Sol está exatamente no zênite, a direção azimutal é matematicamente indefinida, porque sua projeção horizontal se anula. Portanto, a condição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θ</m:t>
            </m:r>
          </m:e>
          <m:sub>
            <m:r>
              <w:rPr>
                <w:sz w:val="28"/>
              </w:rPr>
              <m:t>z</m:t>
            </m:r>
          </m:sub>
        </m:sSub>
        <m:r>
          <w:rPr>
            <w:sz w:val="28"/>
          </w:rPr>
          <m:rPr>
            <m:sty m:val="p"/>
          </m:rPr>
          <m:t>=</m:t>
        </m:r>
        <m:sSup>
          <m:e>
            <m:r>
              <w:rPr>
                <w:sz w:val="28"/>
              </w:rPr>
              <m:t>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b/>
          <w:bCs/>
          <w:i w:val="0"/>
        </w:rPr>
        <w:t xml:space="preserve">não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implica azimute igual a zero.</w:t>
      </w:r>
    </w:p>
    <w:p>
      <w:pPr>
        <w:pStyle w:val="CaptionedFigure"/>
        <w:widowControl/>
      </w:pPr>
      <w:r>
        <w:rPr>
          <w:rFonts w:ascii="Times New Roman" w:hAnsi="Times New Roman"/>
          <w:i w:val="0"/>
        </w:rPr>
        <w:drawing>
          <wp:inline>
            <wp:extent cx="5039999" cy="3470414"/>
            <wp:effectExtent b="0" l="0" r="0" t="0"/>
            <wp:docPr descr="Corte vertical ilustrativo da geometria solar local, com os ângulos zenital e de elevação. Fonte: elaboração própria a partir de Duffie, Beckman e Blair (2020). Representação esquemática, fora de escala." title="" id="22" name="Picture"/>
            <a:graphic>
              <a:graphicData uri="http://schemas.openxmlformats.org/drawingml/2006/picture">
                <pic:pic>
                  <pic:nvPicPr>
                    <pic:cNvPr descr="esquema_geometria_norma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470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  <w:spacing w:line="264" w:lineRule="auto"/>
        <w:ind w:firstLine="0"/>
        <w:jc w:val="left"/>
      </w:pPr>
      <w:r>
        <w:rPr>
          <w:rFonts w:ascii="Times New Roman" w:hAnsi="Times New Roman"/>
          <w:i w:val="0"/>
          <w:sz w:val="22"/>
        </w:rPr>
        <w:t xml:space="preserve">Corte vertical ilustrativo da geometria solar local, com os ângulos zenital e de elevação. Fonte: elaboração própria a partir de Duffie, Beckman e Blair (2020). Representação esquemática, fora de escala.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equação (E1.01) fornece a relação geométrica fundamental; cálculos de alta precisão precisam de tratamentos adicionais, como efemérides, escala temporal, refração atmosférica e correções de coordenadas. Reda e Andreas (2004, p. 577–578) descrevem o SPA para estimar a posição solar com elevada precisão angular. A incerteza divulgada para o próprio algoritmo não deve ser confundida com a incerteza da irradiância ou a qualidade de um sensor terrestre.</w:t>
      </w:r>
    </w:p>
    <w:bookmarkEnd w:id="24"/>
    <w:bookmarkStart w:id="25" w:name="X87d7fd5ec4192080bad9a4568cd3aeae1bcce0f"/>
    <w:p>
      <w:pPr>
        <w:pStyle w:val="Heading2"/>
        <w:widowControl/>
        <w:ind w:firstLine="0"/>
      </w:pPr>
      <w:r>
        <w:rPr>
          <w:b/>
        </w:rPr>
        <w:t>1.1.3 IRRADIÂNCIA EXTRATERRESTRE E PROJEÇÃO HORIZONTAL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irradiância extraterrestre normal, aqui denotada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t>0</m:t>
            </m:r>
            <m:r>
              <w:rPr>
                <w:sz w:val="28"/>
              </w:rPr>
              <m:t>n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[W </w:t>
      </w:r>
      <m:oMath>
        <m:sSup>
          <m:e>
            <m:r>
              <w:rPr>
                <w:sz w:val="28"/>
              </w:rPr>
              <m:t>m</m:t>
            </m:r>
          </m:e>
          <m:sup>
            <m:r>
              <w:rPr>
                <w:sz w:val="28"/>
              </w:rPr>
              <m:rPr>
                <m:sty m:val="p"/>
              </m:rPr>
              <m:t>−</m:t>
            </m:r>
            <m:r>
              <w:rPr>
                <w:sz w:val="28"/>
              </w:rPr>
              <m:t>2</m:t>
            </m:r>
          </m:sup>
        </m:sSup>
      </m:oMath>
      <w:r>
        <w:rPr>
          <w:rFonts w:ascii="Times New Roman" w:hAnsi="Times New Roman"/>
          <w:i w:val="0"/>
        </w:rPr>
        <w:t xml:space="preserve">], representa o fluxo radiante por unidade de área perpendicular aos raios solares antes da interação atmosférica. Seu valor varia durante o ano devido à mudança da distância Terra–Sol. Uma representação conceitual dessa dependência é:</w:t>
      </w:r>
    </w:p>
    <w:p>
      <w:pPr>
        <w:pStyle w:val="BodyText"/>
        <w:widowControl/>
        <w:spacing w:before="120" w:after="140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sz w:val="28"/>
                </w:rPr>
                <m:t>G</m:t>
              </m:r>
            </m:e>
            <m:sub>
              <m:r>
                <w:rPr>
                  <w:sz w:val="28"/>
                </w:rPr>
                <m:t>0</m:t>
              </m:r>
              <m:r>
                <w:rPr>
                  <w:sz w:val="28"/>
                </w:rP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w:rPr>
                  <w:sz w:val="28"/>
                </w:rPr>
                <m:t>t</m:t>
              </m:r>
            </m:e>
          </m:d>
          <m:r>
            <w:rPr>
              <w:sz w:val="28"/>
            </w:rPr>
            <m:rPr>
              <m:sty m:val="p"/>
            </m:rPr>
            <m:t>=</m:t>
          </m:r>
          <m:sSub>
            <m:e>
              <m:r>
                <w:rPr>
                  <w:sz w:val="28"/>
                </w:rPr>
                <m:t>G</m:t>
              </m:r>
            </m:e>
            <m:sub>
              <m:r>
                <w:rPr>
                  <w:sz w:val="28"/>
                </w:rPr>
                <m:rPr>
                  <m:sty m:val="p"/>
                </m:rPr>
                <m:t>s</m:t>
              </m:r>
              <m:r>
                <w:rPr>
                  <w:sz w:val="28"/>
                </w:rPr>
                <m:rPr>
                  <m:sty m:val="p"/>
                </m:rPr>
                <m:t>c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w:rPr>
                              <w:sz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sz w:val="28"/>
                            </w:rPr>
                            <m:t>0</m:t>
                          </m:r>
                        </m:sub>
                      </m:sSub>
                    </m:num>
                    <m:den>
                      <m:r>
                        <w:rPr>
                          <w:sz w:val="28"/>
                        </w:rPr>
                        <m:t>r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sz w:val="28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</m:e>
            <m:sup>
              <m:r>
                <w:rPr>
                  <w:sz w:val="28"/>
                </w:rPr>
                <m:t>2</m:t>
              </m:r>
            </m:sup>
          </m:sSup>
          <m:r>
            <w:rPr>
              <w:sz w:val="28"/>
            </w:rPr>
            <m:rPr>
              <m:sty m:val="p"/>
            </m:rPr>
            <m:t>,</m:t>
          </m:r>
        </m:oMath>
      </m:oMathPara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na qual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rPr>
                <m:sty m:val="p"/>
              </m:rPr>
              <m:t>s</m:t>
            </m:r>
            <m:r>
              <w:rPr>
                <w:sz w:val="28"/>
              </w:rP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[W </w:t>
      </w:r>
      <m:oMath>
        <m:sSup>
          <m:e>
            <m:r>
              <w:rPr>
                <w:sz w:val="28"/>
              </w:rPr>
              <m:t>m</m:t>
            </m:r>
          </m:e>
          <m:sup>
            <m:r>
              <w:rPr>
                <w:sz w:val="28"/>
              </w:rPr>
              <m:rPr>
                <m:sty m:val="p"/>
              </m:rPr>
              <m:t>−</m:t>
            </m:r>
            <m:r>
              <w:rPr>
                <w:sz w:val="28"/>
              </w:rPr>
              <m:t>2</m:t>
            </m:r>
          </m:sup>
        </m:sSup>
      </m:oMath>
      <w:r>
        <w:rPr>
          <w:rFonts w:ascii="Times New Roman" w:hAnsi="Times New Roman"/>
          <w:i w:val="0"/>
        </w:rPr>
        <w:t xml:space="preserve">] é uma irradiância solar de referência na distância média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r</m:t>
            </m:r>
          </m:e>
          <m:sub>
            <m:r>
              <w:rPr>
                <w:sz w:val="28"/>
              </w:rPr>
              <m:t>0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e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r</m:t>
        </m:r>
        <m:d>
          <m:dPr>
            <m:begChr m:val="("/>
            <m:endChr m:val=")"/>
            <m:sepChr m:val=""/>
            <m:grow/>
          </m:dPr>
          <m:e>
            <m:r>
              <w:rPr>
                <w:sz w:val="28"/>
              </w:rPr>
              <m:t>t</m:t>
            </m:r>
          </m:e>
        </m:d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é a distância Terra–Sol no instante considerado. A relação explicita a lei geométrica do inverso do quadrado, sem substituir o tratamento orbital usado pela implementação computacional. Diferentes referências históricas adotam constantes solares de valores próximos, mas não idênticos; aqui se fixa Gsc = 1366,1 W/m² para reproduzir a implementação do projeto (DUFFIE; BECKMAN; BLAIR, 2020, p. 9; PVLIB CONTRIBUTORS, 2026).</w:t>
      </w:r>
    </w:p>
    <w:p>
      <w:pPr>
        <w:widowControl/>
      </w:pPr>
      <w:r>
        <w:rPr>
          <w:rFonts w:ascii="Times New Roman" w:hAnsi="Times New Roman"/>
          <w:i w:val="0"/>
        </w:rPr>
        <w:t>Na aproximação de Spencer implementada, E₀ é função do dia do ano n, com B = 2π(n − 1)/365 em radianos. Mantém-se o denominador 365 também para 2024, ano bissexto, conforme o método do software. O fator empregado é (PVLIB CONTRIBUTORS, 2026):</w:t>
      </w:r>
    </w:p>
    <w:p>
      <w:pPr>
        <w:pStyle w:val="FirstParagraph"/>
        <w:widowControl/>
        <w:spacing w:before="120" w:after="140"/>
        <w:ind w:firstLine="0"/>
        <w:jc w:val="center"/>
      </w:pPr>
      <m:oMathPara>
        <m:oMathParaPr>
          <m:jc m:val="center"/>
        </m:oMathParaPr>
        <m:oMath>
          <m:eqArr>
            <m:e>
              <m:sSub>
                <m:e>
                  <m:r>
                    <w:rPr>
                      <w:sz w:val="28"/>
                    </w:rPr>
                    <m:t>E</m:t>
                  </m:r>
                </m:e>
                <m:sub>
                  <m:r>
                    <w:rPr>
                      <w:sz w:val="28"/>
                    </w:rPr>
                    <m:t>0</m:t>
                  </m:r>
                </m:sub>
              </m:sSub>
              <m:r>
                <w:rPr>
                  <w:sz w:val="28"/>
                </w:rPr>
                <m:rPr>
                  <m:sty m:val="p"/>
                </m:rPr>
                <m:t>=</m:t>
              </m:r>
              <m:r>
                <w:rPr>
                  <w:sz w:val="28"/>
                </w:rPr>
                <m:t/>
              </m:r>
              <m:r>
                <w:rPr>
                  <w:sz w:val="28"/>
                </w:rPr>
                <m:t>1.000110</m:t>
              </m:r>
              <m:r>
                <w:rPr>
                  <w:sz w:val="28"/>
                </w:rPr>
                <m:rPr>
                  <m:sty m:val="p"/>
                </m:rPr>
                <m:t>+</m:t>
              </m:r>
              <m:r>
                <w:rPr>
                  <w:sz w:val="28"/>
                </w:rPr>
                <m:t>0.034221</m:t>
              </m:r>
              <m:r>
                <w:rPr>
                  <w:sz w:val="28"/>
                </w:rPr>
                <m:rPr>
                  <m:sty m:val="p"/>
                </m:rPr>
                <m:t>cos</m:t>
              </m:r>
              <m:r>
                <w:rPr>
                  <w:sz w:val="28"/>
                </w:rPr>
                <m:t>B</m:t>
              </m:r>
              <m:r>
                <w:rPr>
                  <w:sz w:val="28"/>
                </w:rPr>
                <m:rPr>
                  <m:sty m:val="p"/>
                </m:rPr>
                <m:t>+</m:t>
              </m:r>
              <m:r>
                <w:rPr>
                  <w:sz w:val="28"/>
                </w:rPr>
                <m:t>0.001280</m:t>
              </m:r>
              <m:r>
                <w:rPr>
                  <w:sz w:val="28"/>
                </w:rPr>
                <m:rPr>
                  <m:sty m:val="p"/>
                </m:rPr>
                <m:t>sin</m:t>
              </m:r>
              <m:r>
                <w:rPr>
                  <w:sz w:val="28"/>
                </w:rPr>
                <m:t>B</m:t>
              </m:r>
            </m:e>
            <m:e>
              <m:r>
                <w:rPr>
                  <w:sz w:val="28"/>
                </w:rPr>
                <m:rPr>
                  <m:sty m:val="p"/>
                </m:rPr>
                <m:t>+</m:t>
              </m:r>
              <m:r>
                <w:rPr>
                  <w:sz w:val="28"/>
                </w:rPr>
                <m:t>0.000719</m:t>
              </m:r>
              <m:r>
                <w:rPr>
                  <w:sz w:val="28"/>
                </w:rP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sz w:val="28"/>
                    </w:rPr>
                    <m:t>2</m:t>
                  </m:r>
                  <m:r>
                    <w:rPr>
                      <w:sz w:val="28"/>
                    </w:rPr>
                    <m:t>B</m:t>
                  </m:r>
                </m:e>
              </m:d>
              <m:r>
                <w:rPr>
                  <w:sz w:val="28"/>
                </w:rPr>
                <m:rPr>
                  <m:sty m:val="p"/>
                </m:rPr>
                <m:t>+</m:t>
              </m:r>
              <m:r>
                <w:rPr>
                  <w:sz w:val="28"/>
                </w:rPr>
                <m:t>0.000077</m:t>
              </m:r>
              <m:r>
                <w:rPr>
                  <w:sz w:val="28"/>
                </w:rP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sz w:val="28"/>
                    </w:rPr>
                    <m:t>2</m:t>
                  </m:r>
                  <m:r>
                    <w:rPr>
                      <w:sz w:val="28"/>
                    </w:rPr>
                    <m:t>B</m:t>
                  </m:r>
                </m:e>
              </m:d>
              <m:r>
                <w:rPr>
                  <w:sz w:val="28"/>
                </w:rP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projeção da irradiância normal sobre um plano horizontal produz a irradiância extraterrestre horizontal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t>0</m:t>
            </m:r>
            <m:r>
              <w:rPr>
                <w:sz w:val="28"/>
              </w:rPr>
              <m:t>h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[W </w:t>
      </w:r>
      <m:oMath>
        <m:sSup>
          <m:e>
            <m:r>
              <w:rPr>
                <w:sz w:val="28"/>
              </w:rPr>
              <m:t>m</m:t>
            </m:r>
          </m:e>
          <m:sup>
            <m:r>
              <w:rPr>
                <w:sz w:val="28"/>
              </w:rPr>
              <m:rPr>
                <m:sty m:val="p"/>
              </m:rPr>
              <m:t>−</m:t>
            </m:r>
            <m:r>
              <w:rPr>
                <w:sz w:val="28"/>
              </w:rPr>
              <m:t>2</m:t>
            </m:r>
          </m:sup>
        </m:sSup>
      </m:oMath>
      <w:r>
        <w:rPr>
          <w:rFonts w:ascii="Times New Roman" w:hAnsi="Times New Roman"/>
          <w:i w:val="0"/>
        </w:rPr>
        <w:t xml:space="preserve">] (E1.02):</w:t>
      </w:r>
    </w:p>
    <w:p>
      <w:pPr>
        <w:pStyle w:val="BodyText"/>
        <w:widowControl/>
        <w:spacing w:before="120" w:after="140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sz w:val="28"/>
                </w:rPr>
                <m:t>G</m:t>
              </m:r>
            </m:e>
            <m:sub>
              <m:r>
                <w:rPr>
                  <w:sz w:val="28"/>
                </w:rPr>
                <m:t>0</m:t>
              </m:r>
              <m:r>
                <w:rPr>
                  <w:sz w:val="28"/>
                </w:rPr>
                <m:t>h</m:t>
              </m:r>
            </m:sub>
          </m:sSub>
          <m:r>
            <w:rPr>
              <w:sz w:val="28"/>
            </w:rPr>
            <m:rPr>
              <m:sty m:val="p"/>
            </m:rPr>
            <m:t>=</m:t>
          </m:r>
          <m:sSub>
            <m:e>
              <m:r>
                <w:rPr>
                  <w:sz w:val="28"/>
                </w:rPr>
                <m:t>G</m:t>
              </m:r>
            </m:e>
            <m:sub>
              <m:r>
                <w:rPr>
                  <w:sz w:val="28"/>
                </w:rPr>
                <m:t>0</m:t>
              </m:r>
              <m:r>
                <w:rPr>
                  <w:sz w:val="28"/>
                </w:rPr>
                <m:t>n</m:t>
              </m:r>
            </m:sub>
          </m:sSub>
          <m:r>
            <w:rPr>
              <w:sz w:val="28"/>
            </w:rP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w:rPr>
                  <w:sz w:val="28"/>
                </w:rPr>
                <m:t>0</m:t>
              </m:r>
              <m:r>
                <w:rPr>
                  <w:sz w:val="28"/>
                </w:rPr>
                <m:rPr>
                  <m:sty m:val="p"/>
                </m:rPr>
                <m:t>,</m:t>
              </m:r>
              <m:r>
                <w:rPr>
                  <w:sz w:val="28"/>
                </w:rPr>
                <m:rPr>
                  <m:sty m:val="p"/>
                </m:rPr>
                <m:t>cos</m:t>
              </m:r>
              <m:sSub>
                <m:e>
                  <m:r>
                    <w:rPr>
                      <w:sz w:val="28"/>
                    </w:rPr>
                    <m:t>θ</m:t>
                  </m:r>
                </m:e>
                <m:sub>
                  <m:r>
                    <w:rPr>
                      <w:sz w:val="28"/>
                    </w:rPr>
                    <m:t>z</m:t>
                  </m:r>
                </m:sub>
              </m:sSub>
            </m:e>
          </m:d>
          <m:r>
            <w:rPr>
              <w:sz w:val="28"/>
            </w:rP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O operador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rPr>
            <m:sty m:val="p"/>
          </m:rPr>
          <m:t>max</m:t>
        </m:r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explicita a ausência de contribuição solar direta quando o Sol está abaixo do horizonte geométrico. Durante o dia, a equação se reduz a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t>0</m:t>
            </m:r>
            <m:r>
              <w:rPr>
                <w:sz w:val="28"/>
              </w:rPr>
              <m:t>h</m:t>
            </m:r>
          </m:sub>
        </m:sSub>
        <m:r>
          <w:rPr>
            <w:sz w:val="28"/>
          </w:rPr>
          <m:rPr>
            <m:sty m:val="p"/>
          </m:rPr>
          <m:t>=</m:t>
        </m:r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t>0</m:t>
            </m:r>
            <m:r>
              <w:rPr>
                <w:sz w:val="28"/>
              </w:rPr>
              <m:t>n</m:t>
            </m:r>
          </m:sub>
        </m:sSub>
        <m:r>
          <w:rPr>
            <w:sz w:val="28"/>
          </w:rPr>
          <m:rPr>
            <m:sty m:val="p"/>
          </m:rPr>
          <m:t>cos</m:t>
        </m:r>
        <m:sSub>
          <m:e>
            <m:r>
              <w:rPr>
                <w:sz w:val="28"/>
              </w:rPr>
              <m:t>θ</m:t>
            </m:r>
          </m:e>
          <m:sub>
            <m:r>
              <w:rPr>
                <w:sz w:val="28"/>
              </w:rPr>
              <m:t>z</m:t>
            </m:r>
          </m:sub>
        </m:sSub>
      </m:oMath>
      <w:r>
        <w:rPr>
          <w:rFonts w:ascii="Times New Roman" w:hAnsi="Times New Roman"/>
          <w:i w:val="0"/>
        </w:rPr>
        <w:t xml:space="preserve">. A dependência em cosseno é puramente geométrica: para o mesmo fluxo normal extraterrestre, a projeção na horizontal diminui à medida que o ângulo zenital aumenta. Isso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b/>
          <w:bCs/>
          <w:i w:val="0"/>
        </w:rPr>
        <w:t xml:space="preserve">não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significa que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t>0</m:t>
            </m:r>
            <m:r>
              <w:rPr>
                <w:sz w:val="28"/>
              </w:rPr>
              <m:t>h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seja a GHI observada, pois esta última sofre os efeitos de absorção, espalhamento, nuvens, aerossóis e das demais condições atmosféricas.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Uma consequência importante é a impossibilidade de inferir a irradiância real de superfície apenas com posição solar e uma irradiância extraterrestre calculada. A decomposição entre a contribuição direta projetada e a radiação difusa no plano horizontal exige grandezas e hipóteses adicionais que pertencem à subseção 1.2.</w:t>
      </w:r>
    </w:p>
    <w:bookmarkEnd w:id="25"/>
    <w:bookmarkStart w:id="26" w:name="massa-de-ar-e-caminho-óptico"/>
    <w:p>
      <w:pPr>
        <w:pStyle w:val="Heading2"/>
        <w:widowControl/>
        <w:ind w:firstLine="0"/>
      </w:pPr>
      <w:r>
        <w:rPr>
          <w:b/>
        </w:rPr>
        <w:t>1.1.4 MASSA DE AR E CAMINHO ÓPTICO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massa de ar relativa (</w:t>
      </w:r>
      <m:oMath>
        <m:r>
          <w:rPr>
            <w:sz w:val="28"/>
          </w:rPr>
          <m:t>A</m:t>
        </m:r>
        <m:r>
          <w:rPr>
            <w:sz w:val="28"/>
          </w:rPr>
          <m:t>M</m:t>
        </m:r>
      </m:oMath>
      <w:r>
        <w:rPr>
          <w:rFonts w:ascii="Times New Roman" w:hAnsi="Times New Roman"/>
          <w:i w:val="0"/>
        </w:rPr>
        <w:t xml:space="preserve">) é um indicador do caminho óptico atravessado pela radiação direta em relação a uma direção vertical de referência. Em atmosfera plana e para ângulos zenitais moderados, uma aproximação geométrica é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A</m:t>
        </m:r>
        <m:r>
          <w:rPr>
            <w:sz w:val="28"/>
          </w:rPr>
          <m:t>M</m:t>
        </m:r>
        <m:r>
          <w:rPr>
            <w:sz w:val="28"/>
          </w:rPr>
          <m:rPr>
            <m:sty m:val="p"/>
          </m:rPr>
          <m:t>≈</m:t>
        </m:r>
        <m:r>
          <w:rPr>
            <w:sz w:val="28"/>
          </w:rPr>
          <m:t>1</m:t>
        </m:r>
        <m:r>
          <w:rPr>
            <w:sz w:val="28"/>
          </w:rPr>
          <m:rPr>
            <m:sty m:val="p"/>
          </m:rPr>
          <m:t>/</m:t>
        </m:r>
        <m:r>
          <w:rPr>
            <w:sz w:val="28"/>
          </w:rPr>
          <m:rPr>
            <m:sty m:val="p"/>
          </m:rPr>
          <m:t>cos</m:t>
        </m:r>
        <m:sSub>
          <m:e>
            <m:r>
              <w:rPr>
                <w:sz w:val="28"/>
              </w:rPr>
              <m:t>θ</m:t>
            </m:r>
          </m:e>
          <m:sub>
            <m:r>
              <w:rPr>
                <w:sz w:val="28"/>
              </w:rPr>
              <m:t>z</m:t>
            </m:r>
          </m:sub>
        </m:sSub>
      </m:oMath>
      <w:r>
        <w:rPr>
          <w:rFonts w:ascii="Times New Roman" w:hAnsi="Times New Roman"/>
          <w:i w:val="0"/>
        </w:rPr>
        <w:t xml:space="preserve">. Sua interpretação física é útil: próximo ao horizonte, o trajeto atmosférico é, em geral, mais extenso, o que amplia as oportunidades de absorção e espalhamento. Entretanto, a aproximação secante perde validade para grandes ângulos zenitais. Para aplicações quantitativas, deve-se empregar uma parametrização de massa de ar apropriada, distinguindo a massa de ar relativa da absoluta e informando eventuais correções de pressão (DUFFIE; BECKMAN; BLAIR, 2020, p. 9–10; SENGUPTA et al., 2024, cap. 2, p. 6–8).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>A aproximação secante é utilizada como interpretação geométrica para zenitais moderados, aproximadamente até 70° no tratamento de Duffie, Beckman e Blair (2020, p. 9–10). Não deve ser extrapolada ao horizonte. A massa de ar relativa e sua correção de pressão para massa de ar absoluta precisam ser distinguidas em aplicações quantitativas.</w:t>
      </w:r>
    </w:p>
    <w:bookmarkEnd w:id="26"/>
    <w:bookmarkStart w:id="30" w:name="articulação-com-o-caso-real-pvdaq-2107"/>
    <w:p>
      <w:pPr>
        <w:pStyle w:val="Heading2"/>
        <w:widowControl/>
        <w:ind w:firstLine="0"/>
      </w:pPr>
      <w:r>
        <w:rPr>
          <w:b/>
        </w:rPr>
        <w:t>1.1.5 ARTICULAÇÃO COM O CASO REAL PVDAQ 2107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O estudo coletivo adota o sistema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b/>
          <w:bCs/>
          <w:i w:val="0"/>
        </w:rPr>
        <w:t xml:space="preserve">Farm Solar Array — PVDAQ 2107</w:t>
      </w:r>
      <w:r>
        <w:rPr>
          <w:rFonts w:ascii="Times New Roman" w:hAnsi="Times New Roman"/>
          <w:i w:val="0"/>
        </w:rPr>
        <w:t xml:space="preserve">, localizado em Arbuckle, Califórnia, nas coordenadas aproximadamente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38</m:t>
        </m:r>
        <m:r>
          <w:rPr>
            <w:sz w:val="28"/>
          </w:rPr>
          <m:rPr>
            <m:sty m:val="p"/>
          </m:rPr>
          <m:t>,</m:t>
        </m:r>
        <m:sSup>
          <m:e>
            <m:r>
              <w:rPr>
                <w:sz w:val="28"/>
              </w:rPr>
              <m:t>996306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N e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122</m:t>
        </m:r>
        <m:r>
          <w:rPr>
            <w:sz w:val="28"/>
          </w:rPr>
          <m:rPr>
            <m:sty m:val="p"/>
          </m:rPr>
          <m:t>,</m:t>
        </m:r>
        <m:sSup>
          <m:e>
            <m:r>
              <w:rPr>
                <w:sz w:val="28"/>
              </w:rPr>
              <m:t>134111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O. A janela analisada é de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b/>
          <w:bCs/>
          <w:i w:val="0"/>
        </w:rPr>
        <w:t xml:space="preserve">1º de abril a 30 de junho de 2024</w:t>
      </w:r>
      <w:r>
        <w:rPr>
          <w:rFonts w:ascii="Times New Roman" w:hAnsi="Times New Roman"/>
          <w:i w:val="0"/>
        </w:rPr>
        <w:t xml:space="preserve">, com 91 dias, no fuso local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  <w:iCs/>
        </w:rPr>
        <w:t xml:space="preserve">America/Los_Angeles</w:t>
      </w:r>
      <w:r>
        <w:rPr>
          <w:rFonts w:ascii="Times New Roman" w:hAnsi="Times New Roman"/>
          <w:i w:val="0"/>
        </w:rPr>
        <w:t xml:space="preserve">. A configuração do projeto registra a posição do Sol pelo SPA, aplicada ao meio do intervalo temporal correspondente, e utiliza a irradiância medida no plano do arranjo (</w:t>
      </w:r>
      <w:r>
        <w:rPr>
          <w:rFonts w:ascii="Times New Roman" w:hAnsi="Times New Roman"/>
          <w:i w:val="0"/>
          <w:iCs/>
        </w:rPr>
        <w:t xml:space="preserve">plane of array</w:t>
      </w:r>
      <w:r>
        <w:rPr>
          <w:rFonts w:ascii="Times New Roman" w:hAnsi="Times New Roman"/>
          <w:i w:val="0"/>
        </w:rPr>
        <w:t xml:space="preserve">, POA). As curvas de geometria e irradiância abaixo ilustram o dia 17 de maio de 2024 no horário local, conforme a coleção gráfica identificada como G01.</w:t>
      </w:r>
    </w:p>
    <w:p>
      <w:pPr>
        <w:pStyle w:val="CaptionedFigure"/>
        <w:widowControl/>
        <w:ind w:firstLine="0"/>
        <w:jc w:val="center"/>
      </w:pPr>
      <w:r>
        <w:rPr>
          <w:rFonts w:ascii="Times New Roman" w:hAnsi="Times New Roman"/>
          <w:i w:val="0"/>
        </w:rPr>
        <w:drawing>
          <wp:inline>
            <wp:extent cx="5472000" cy="306171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1_recurso_geometria_cla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6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  <w:ind w:firstLine="0"/>
        <w:jc w:val="center"/>
      </w:pPr>
      <w:r>
        <w:rPr>
          <w:rFonts w:ascii="Times New Roman" w:hAnsi="Times New Roman"/>
          <w:i w:val="0"/>
        </w:rPr>
        <w:t>Figura G01 — POA observada e ângulos calculados no PVDAQ 2107, em 17/05/2024. POA: média de 15 minutos; posição solar no ponto médio. Fonte: dados preparados e configuração do projeto; cálculo de Samuel Constantino Teixeira, 2026. Zenital geométrico; incidência com zenital aparente, conforme a cadeia vigente.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>O gráfico reúne naturezas distintas de informação. A POA provém da medição local agregada, enquanto zenital e incidência são calculados. Para 17/05, há 96 posições temporais, 94 médias POA não ausentes e 68 intervalos com três amostras na agregação. A figura exibe 05 h a 21 h locais, sem interpolação. A proximidade temporal entre o máximo de POA e a maior altura solar não constitui validação independente do SPA, nem permite identificar isoladamente condições de nuvens, aerossóis ou vapor de água. Trata-se de um exemplo diário, e não de uma distribuição climatológica.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O sistema PVDAQ disponibiliza irradiância POA, mas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b/>
          <w:bCs/>
          <w:i w:val="0"/>
        </w:rPr>
        <w:t xml:space="preserve">não disponibiliza, neste conjunto selecionado, séries locais medidas e independentes de GHI, DNI e DHI</w:t>
      </w:r>
      <w:r>
        <w:rPr>
          <w:rFonts w:ascii="Times New Roman" w:hAnsi="Times New Roman"/>
          <w:i w:val="0"/>
        </w:rPr>
        <w:t xml:space="preserve">. Essas componentes não devem ser apresentadas como medições observadas; eventuais reconstruções por transposição inversa constituem análises exploratórias, discutidas separadamente. A orientação fixa do arranjo é de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25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de inclinação e azimute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180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(norte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, sentido horário), mas o detalhamento da montagem e a transposição para a POA pertencem às seções 2.4 e 3.1, respectivamente.</w:t>
      </w:r>
    </w:p>
    <w:bookmarkEnd w:id="30"/>
    <w:bookmarkStart w:id="32" w:name="síntese-e-limites"/>
    <w:p>
      <w:pPr>
        <w:pStyle w:val="Heading2"/>
        <w:widowControl/>
        <w:ind w:firstLine="0"/>
      </w:pPr>
      <w:r>
        <w:rPr>
          <w:b/>
        </w:rPr>
        <w:t>1.1.6 SÍNTESE E LIMITES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posição solar define a direção de incidência da componente direta e fornece o fator geométrico de projeção entre irradiância normal e horizontal. A irradiância extraterrestre estabelece uma referência física anterior à atenuação atmosférica. A passagem da geometria para o recurso disponível em superfície exige, entretanto, informação radiométrica adicional e descrição explícita de suas condições de observação. Assim, a subseção 1.1 estabelece os ângulos, o tempo e o referencial geométrico que serão empregados em 1.2 a 1.4 e compartilhados com o estudo fotovoltaico da equipe.</w:t>
      </w:r>
    </w:p>
    <w:bookmarkStart w:id="31" w:name="quadro-de-conceitos-e-convenções"/>
    <w:p>
      <w:pPr>
        <w:pStyle w:val="Heading2"/>
        <w:widowControl/>
      </w:pPr>
      <w:r>
        <w:rPr>
          <w:b/>
        </w:rPr>
        <w:t>1.1.7 RASTREABILIDADE DO PROCEDIMENTO COMPUTACIONAL</w:t>
      </w:r>
    </w:p>
    <w:p>
      <w:pPr>
        <w:widowControl/>
      </w:pPr>
      <w:r>
        <w:rPr>
          <w:rFonts w:ascii="Times New Roman" w:hAnsi="Times New Roman"/>
          <w:i w:val="0"/>
        </w:rPr>
        <w:t>Os ângulos são calculados pelo SPA de Reda e Andreas (2004; 2008), enquanto a irradiância extraterrestre normal é calculada separadamente pelo método Spencer. A rotina utiliza pvlib 0.16.1. O exemplo publicado do SPA foi reproduzido com os parâmetros da Tabela A5.1 (REDA; ANDREAS, 2008, p. A-15–A-16), obtendo zenital aparente de 50,111622° e azimute de 194,340241°, compatíveis com os valores de referência arredondados. Essa conferência verifica a implementação numérica; não valida o sensor POA nem a precisão de todas as entradas do estudo de caso.</w:t>
      </w:r>
    </w:p>
    <w:p>
      <w:pPr>
        <w:widowControl/>
      </w:pPr>
      <w:r>
        <w:rPr>
          <w:rFonts w:ascii="Times New Roman" w:hAnsi="Times New Roman"/>
          <w:i w:val="0"/>
        </w:rPr>
        <w:t>O caso PVDAQ 2107 utiliza 38,996306° N, 122,134111° O e altitude de 10 m na configuração do projeto. A janela compreende 01/04 a 30/06/2024, no fuso America/Los_Angeles. O rótulo temporal indica o início de intervalos de 15 minutos; o SPA é avaliado 7 min 30 s depois. Em 17/05/2024, o fuso corresponde a UTC−7. A pressão é estimada da altitude, enquanto temperatura de refração de 12 °C e diferença de escalas temporais ΔT = 67 s são padrões mantidos da implementação, sem tratá-los como medições locais ou como atualização específica de efemérides.</w:t>
      </w:r>
    </w:p>
    <w:p>
      <w:pPr>
        <w:widowControl/>
      </w:pPr>
      <w:r>
        <w:rPr>
          <w:rFonts w:ascii="Times New Roman" w:hAnsi="Times New Roman"/>
          <w:i w:val="0"/>
        </w:rPr>
        <w:t>A conferência bibliográfica foi localizada por páginas, com distinção entre obras catalogadas e evidências efetivamente verificadas. O livro de Duffie, Beckman e Blair (2020, p. 9) apresenta 0,00719 no termo em cos(2B) de sua equação 1.4.1b. O código conferido do pvlib 0.16.1 utiliza 0,000719. Para reproduzir os cálculos do projeto, adota-se este último coeficiente, mantendo registrada a divergência entre as fontes; a comparação não constitui uma investigação de erratas do editor.</w:t>
      </w:r>
    </w:p>
    <w:p>
      <w:pPr>
        <w:pStyle w:val="Heading3"/>
        <w:widowControl/>
        <w:ind w:firstLine="0"/>
      </w:pPr>
      <w:r>
        <w:rPr>
          <w:b/>
        </w:rPr>
        <w:t>QUADRO DE CONCEITOS E CONVENÇÕES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Símbolo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Grandeza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Unidade / convenção</w:t>
            </w:r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Latitude geográfica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graus; norte positivo</w:t>
            </w:r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Declinação solar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graus</w:t>
            </w:r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Ângulo horário solar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graus; 0° ao meio-dia solar</w:t>
            </w:r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Ângulo zenital solar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graus; 0° no zênite</w:t>
            </w:r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Elevação solar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graus;</w:t>
            </w:r>
            <w:r>
              <w:rPr>
                <w:rFonts w:ascii="Times New Roman" w:hAnsi="Times New Roman"/>
                <w:sz w:val="23"/>
              </w:rPr>
              <w:t xml:space="preserve"> </w:t>
            </w:r>
            <m:oMath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Irradiância extraterrestre normal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W/m²</w:t>
            </w:r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Irradiância extraterrestre horizontal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W/m²</w:t>
            </w:r>
          </w:p>
        </w:tc>
      </w:tr>
      <w:t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POA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Irradiância no plano dos módulos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W/m²; observada no PVDAQ</w:t>
            </w:r>
          </w:p>
        </w:tc>
      </w:tr>
    </w:tbl>
    <w:bookmarkEnd w:id="31"/>
    <w:bookmarkEnd w:id="32"/>
    <w:bookmarkStart w:id="33" w:name="referências-utilizadas"/>
    <w:p>
      <w:pPr>
        <w:widowControl/>
      </w:pPr>
      <w:r>
        <w:rPr>
          <w:rFonts w:ascii="Times New Roman" w:hAnsi="Times New Roman"/>
          <w:b/>
          <w:i w:val="0"/>
        </w:rPr>
        <w:t>Critérios de validade e transição para 1.2</w:t>
      </w:r>
    </w:p>
    <w:p>
      <w:pPr>
        <w:widowControl/>
      </w:pPr>
      <w:r>
        <w:rPr>
          <w:rFonts w:ascii="Times New Roman" w:hAnsi="Times New Roman"/>
          <w:b w:val="0"/>
          <w:i w:val="0"/>
        </w:rPr>
        <w:t>A irradiância extraterrestre horizontal G₀h [W m⁻²] é calculada pela projeção da irradiância normal G₀n [W m⁻²] no plano horizontal, para o Sol acima do horizonte. GHI [W m⁻²] é outra grandeza: a irradiância global horizontal na superfície, modificada por absorção, espalhamento e nuvens. POA [W m⁻²] representa um plano inclinado e, no PVDAQ 2107, é a medição que alimenta a cadeia principal. Essas distinções fundamentam a subseção 1.2 e evitam substituir observações por cálculos.</w:t>
      </w:r>
    </w:p>
    <w:p>
      <w:pPr>
        <w:pStyle w:val="Heading2"/>
        <w:pageBreakBefore/>
        <w:widowControl/>
        <w:ind w:firstLine="0"/>
      </w:pPr>
      <w:r>
        <w:rPr>
          <w:b/>
        </w:rPr>
        <w:t>REFERÊNCIAS UTILIZADAS</w:t>
      </w:r>
    </w:p>
    <w:bookmarkEnd w:id="33"/>
    <w:bookmarkEnd w:id="34"/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>DUFFIE, John A.; BECKMAN, William A.; BLAIR, Nathan. Solar engineering of thermal processes, photovoltaics and wind. 5. ed. Hoboken: Wiley, 2020. ISBN 9781119540311. DOI: https://doi.org/10.1002/9781119540328.</w:t>
      </w:r>
    </w:p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>NOAA GLOBAL MONITORING LABORATORY. General solar position calculations. [S. l.]: NOAA, [s. d.]. 2 p. Disponível em: https://gml.noaa.gov/grad/solcalc/solareqns.PDF. Acesso em: 27 out. 2026.</w:t>
      </w:r>
    </w:p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>PVLIB CONTRIBUTORS. pvlib python: get_extra_radiation e spa_python. Versão 0.16.1. 2026. Disponível em: https://pvlib-python.readthedocs.io/en/v0.16.1/reference/generated/pvlib.irradiance.get_extra_radiation.html. Acesso em: 27 out. 2026.</w:t>
      </w:r>
    </w:p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>REDA, Ibrahim; ANDREAS, Afshin. Solar position algorithm for solar radiation applications. Solar Energy, v. 76, n. 5, p. 577–589, 2004. DOI: https://doi.org/10.1016/j.solener.2003.12.003.</w:t>
      </w:r>
    </w:p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>REDA, Ibrahim; ANDREAS, Afshin. Solar position algorithm for solar radiation applications. Revised January 2008. Golden: National Renewable Energy Laboratory, 2008. Relatório NREL/TP-560-34302. DOI: https://doi.org/10.2172/15003974.</w:t>
      </w:r>
    </w:p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>SENGUPTA, Manajit et al. (ed.). Best practices handbook for the collection and use of solar resource data for solar energy applications. 4. ed. Golden: National Renewable Energy Laboratory, 2024. Relatório NREL/TP-5D00-88300. Disponível em: https://docs.nrel.gov/docs/fy24osti/88300.pdf. Acesso em: 27 out. 2026.</w:t>
      </w:r>
    </w:p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>TEIXEIRA, Samuel Constantino et al. SPGER0046 Energias Renováveis: configuração e dados preparados do estudo PVDAQ 2107. 2026. Repositório de trabalho. Dados utilizados: abril a junho de 2024. Disponível em: https://github.com/samuelasroma-byte/SPGER0046_Energias_Renovaveis. Acesso em: 27 out. 2026.</w:t>
        <w:br/>
      </w:r>
    </w:p>
    <w:sectPr>
      <w:headerReference w:type="default" r:id="rId10"/>
      <w:pgSz w:h="16838" w:w="11906"/>
      <w:pgMar w:top="1701" w:left="1701" w:right="1134" w:bottom="1134" w:header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/>
        <w:sz w:val="22"/>
      </w:rPr>
    </w:r>
    <w:fldSimple w:instr="PAGE"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24" w:lineRule="auto" w:after="140"/>
      <w:ind w:firstLine="709"/>
      <w:jc w:val="both"/>
    </w:pPr>
    <w:rPr>
      <w:rFonts w:ascii="Times New Roman" w:hAnsi="Times New Roman"/>
      <w:color w:val="000000"/>
      <w:sz w:val="28"/>
    </w:rPr>
  </w:style>
  <w:style w:styleId="BodyText" w:type="paragraph">
    <w:name w:val="Body Text"/>
    <w:basedOn w:val="Normal"/>
    <w:link w:val="BodyTextChar"/>
    <w:qFormat/>
    <w:pPr>
      <w:spacing w:after="140" w:before="180" w:line="324" w:lineRule="auto"/>
      <w:ind w:firstLine="709"/>
      <w:jc w:val="both"/>
    </w:pPr>
    <w:rPr>
      <w:rFonts w:ascii="Times New Roman" w:hAnsi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24" w:lineRule="auto" w:after="140"/>
      <w:ind w:firstLine="709"/>
      <w:jc w:val="both"/>
    </w:pPr>
    <w:rPr>
      <w:rFonts w:ascii="Times New Roman" w:hAnsi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240"/>
      <w:ind w:firstLine="0"/>
      <w:jc w:val="center"/>
    </w:pPr>
    <w:rPr>
      <w:rFonts w:asciiTheme="majorHAnsi" w:cstheme="majorBidi" w:eastAsiaTheme="majorEastAsia" w:hAnsiTheme="majorHAnsi" w:ascii="Times New Roman" w:hAnsi="Times New Roman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Heading1">
    <w:name w:val="heading 1"/>
    <w:pPr>
      <w:keepNext/>
      <w:spacing w:before="240" w:after="160"/>
      <w:ind w:firstLine="0"/>
    </w:pPr>
    <w:rPr>
      <w:rFonts w:ascii="Times New Roman" w:hAnsi="Times New Roman"/>
      <w:b/>
      <w:i w:val="0"/>
      <w:color w:val="000000"/>
      <w:sz w:val="32"/>
    </w:rPr>
  </w:style>
  <w:style w:type="paragraph" w:customStyle="1" w:styleId="Heading2">
    <w:name w:val="heading 2"/>
    <w:pPr>
      <w:keepNext/>
      <w:spacing w:before="240" w:after="160"/>
      <w:ind w:firstLine="0"/>
    </w:pPr>
    <w:rPr>
      <w:rFonts w:ascii="Times New Roman" w:hAnsi="Times New Roman"/>
      <w:b/>
      <w:i w:val="0"/>
      <w:color w:val="000000"/>
      <w:sz w:val="28"/>
    </w:rPr>
  </w:style>
  <w:style w:type="paragraph" w:customStyle="1" w:styleId="Heading3">
    <w:name w:val="heading 3"/>
    <w:pPr>
      <w:keepNext/>
      <w:spacing w:before="240" w:after="160"/>
      <w:ind w:firstLine="0"/>
    </w:pPr>
    <w:rPr>
      <w:rFonts w:ascii="Times New Roman" w:hAnsi="Times New Roman"/>
      <w:b/>
      <w:i w:val="0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21" Type="http://schemas.openxmlformats.org/officeDocument/2006/relationships/image" Target="media/rId21.png"/><Relationship Id="rId9" Type="http://schemas.openxmlformats.org/officeDocument/2006/relationships/image" Target="media/image1.png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2026-10-26T16:42:51Z</dcterms:created>
  <dcterms:modified xsi:type="dcterms:W3CDTF">2026-10-26T16:42:51Z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