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41be9165729c396207ed2594ece229ca47a3ad"/>
    <w:p>
      <w:pPr>
        <w:pStyle w:val="Heading1"/>
        <w:widowControl/>
      </w:pPr>
      <w:r>
        <w:rPr>
          <w:b/>
        </w:rPr>
        <w:t>1.2 GRANDEZAS RADIOMÉTRICAS E COMPONENTES DA RADIAÇÃO</w:t>
      </w:r>
    </w:p>
    <w:bookmarkStart w:id="20" w:name="irradiância-e-irradiação"/>
    <w:p>
      <w:pPr>
        <w:pStyle w:val="Heading2"/>
        <w:widowControl/>
      </w:pPr>
      <w:r>
        <w:rPr>
          <w:b/>
        </w:rPr>
        <w:t>1.2.1 IRRADIÂNCIA E IRRADIAÇÃO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descrição do recurso solar exige identificar a grandeza física, o plano de referência e o intervalo temporal a que cada valor se refere. A irradiância corresponde à potência radiante incidente por unidade de área, expressa em watt por metro quadrado (W/m²). A irradiação representa a energia radiante recebida por unidade de área durante um intervalo definido, expressa no Sistema Internacional em joule por metro quadrado (J/m²). O uso de Wh/m² ou kWh/m² é conveniente em aplicações energéticas, desde que o intervalo de integração seja explicitado. Assim, irradiância e irradiação descrevem aspectos relacionados do recurso, mas não podem ser substituídas uma pela outra em equações ou eixos gráficos (DUFFIE; BECKMAN; BLAIR, 2020, p. 10).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Se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G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8"/>
              </w:rPr>
              <m:t>t</m:t>
            </m:r>
          </m:e>
        </m:d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representa a irradiância no plano considerado, a irradiação entre os instantes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</w:rPr>
              <m:t>1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</w:rPr>
              <m:t>2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sz w:val="28"/>
                </w:rPr>
                <m:t>H</m:t>
              </m:r>
            </m:e>
            <m:sub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w:rPr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sz w:val="28"/>
                        </w:rPr>
                        <m:t>1</m:t>
                      </m:r>
                    </m:sub>
                  </m:sSub>
                  <m:r>
                    <w:rPr>
                      <w:sz w:val="28"/>
                    </w:rPr>
                    <m:rPr>
                      <m:sty m:val="p"/>
                    </m:rPr>
                    <m:t>,</m:t>
                  </m:r>
                  <m:sSub>
                    <m:e>
                      <m:r>
                        <w:rPr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sz w:val="28"/>
                        </w:rPr>
                        <m:t>2</m:t>
                      </m:r>
                    </m:sub>
                  </m:sSub>
                </m:e>
              </m:d>
            </m:sub>
          </m:sSub>
          <m:r>
            <w:rPr>
              <w:sz w:val="28"/>
            </w:rP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w:rPr>
                      <w:sz w:val="28"/>
                    </w:rPr>
                    <m:t>t</m:t>
                  </m:r>
                </m:e>
                <m:sub>
                  <m:r>
                    <w:rPr>
                      <w:sz w:val="28"/>
                    </w:rPr>
                    <m:t>1</m:t>
                  </m:r>
                </m:sub>
              </m:sSub>
            </m:sub>
            <m:sup>
              <m:sSub>
                <m:e>
                  <m:r>
                    <w:rPr>
                      <w:sz w:val="28"/>
                    </w:rPr>
                    <m:t>t</m:t>
                  </m:r>
                </m:e>
                <m:sub>
                  <m:r>
                    <w:rPr>
                      <w:sz w:val="28"/>
                    </w:rPr>
                    <m:t>2</m:t>
                  </m:r>
                </m:sub>
              </m:sSub>
            </m:sup>
            <m:e>
              <m:r>
                <w:rPr>
                  <w:sz w:val="28"/>
                </w:rPr>
                <m:t>G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w:rPr>
                  <w:sz w:val="28"/>
                </w:rPr>
                <m:t>t</m:t>
              </m:r>
            </m:e>
          </m:d>
          <m:r>
            <w:rPr>
              <w:sz w:val="28"/>
            </w:rPr>
            <m:t> </m:t>
          </m:r>
          <m:r>
            <w:rPr>
              <w:sz w:val="28"/>
            </w:rPr>
            <m:rPr>
              <m:sty m:val="p"/>
            </m:rPr>
            <m:t>d</m:t>
          </m:r>
          <m:r>
            <w:rPr>
              <w:sz w:val="28"/>
            </w:rPr>
            <m:t>t</m:t>
          </m:r>
          <m:r>
            <w:rPr>
              <w:sz w:val="28"/>
            </w:rPr>
            <m:rPr>
              <m:sty m:val="p"/>
            </m:rPr>
            <m:t>.</m:t>
          </m:r>
          <m:r>
            <w:rPr>
              <w:sz w:val="28"/>
            </w:rPr>
            <m:rPr>
              <m:sty m:val="p"/>
            </m:rPr>
            <m:t>   (E1.03)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Com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G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em W/m² e o tempo em segundos,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H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obtida em J/m². Quando o tempo é expresso em horas, a integração fornece Wh/m². A equivalência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1</m:t>
        </m:r>
        <m:r>
          <w:rPr>
            <w:sz w:val="28"/>
          </w:rPr>
          <m:t> </m:t>
        </m:r>
        <m:r>
          <w:rPr>
            <w:sz w:val="28"/>
          </w:rPr>
          <m:rPr>
            <m:sty m:val="p"/>
          </m:rPr>
          <m:t>W</m:t>
        </m:r>
        <m:r>
          <w:rPr>
            <w:sz w:val="28"/>
          </w:rPr>
          <m:rPr>
            <m:sty m:val="p"/>
          </m:rPr>
          <m:t>h</m:t>
        </m:r>
        <m:r>
          <w:rPr>
            <w:sz w:val="28"/>
          </w:rPr>
          <m:rPr>
            <m:sty m:val="p"/>
          </m:rPr>
          <m:t>/</m:t>
        </m:r>
        <m:sSup>
          <m:e>
            <m:r>
              <w:rPr>
                <w:sz w:val="28"/>
              </w:rPr>
              <m:rPr>
                <m:sty m:val="p"/>
              </m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2</m:t>
            </m:r>
          </m:sup>
        </m:sSup>
        <m:r>
          <w:rPr>
            <w:sz w:val="28"/>
          </w:rPr>
          <m:rPr>
            <m:sty m:val="p"/>
          </m:rPr>
          <m:t>=</m:t>
        </m:r>
        <m:r>
          <w:rPr>
            <w:sz w:val="28"/>
          </w:rPr>
          <m:t>3600</m:t>
        </m:r>
        <m:r>
          <w:rPr>
            <w:sz w:val="28"/>
          </w:rPr>
          <m:t> </m:t>
        </m:r>
        <m:r>
          <w:rPr>
            <w:sz w:val="28"/>
          </w:rPr>
          <m:rPr>
            <m:sty m:val="p"/>
          </m:rPr>
          <m:t>J</m:t>
        </m:r>
        <m:r>
          <w:rPr>
            <w:sz w:val="28"/>
          </w:rPr>
          <m:rPr>
            <m:sty m:val="p"/>
          </m:rPr>
          <m:t>/</m:t>
        </m:r>
        <m:sSup>
          <m:e>
            <m:r>
              <w:rPr>
                <w:sz w:val="28"/>
              </w:rPr>
              <m:rPr>
                <m:sty m:val="p"/>
              </m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decorre da definição de watt e da conversão entre hora e segundo. Para registros que representam médias de intervalos, a forma discreta é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r>
            <w:rPr>
              <w:sz w:val="28"/>
            </w:rPr>
            <m:t>H</m:t>
          </m:r>
          <m:r>
            <w:rPr>
              <w:sz w:val="28"/>
            </w:rP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sz w:val="28"/>
                </w:rPr>
                <m:t>i</m:t>
              </m:r>
              <m:r>
                <w:rPr>
                  <w:sz w:val="28"/>
                </w:rPr>
                <m:rPr>
                  <m:sty m:val="p"/>
                </m:rPr>
                <m:t>∈</m:t>
              </m:r>
              <m:r>
                <w:rPr>
                  <w:sz w:val="28"/>
                </w:rPr>
                <m:rPr>
                  <m:sty m:val="p"/>
                  <m:scr m:val="script"/>
                </m:rPr>
                <m:t>V</m:t>
              </m:r>
            </m:sub>
            <m:sup>
              <m:r>
                <w:rPr>
                  <w:sz w:val="28"/>
                </w:rPr>
                <m:t/>
              </m:r>
            </m:sup>
            <m:e>
              <m:sSub>
                <m:e>
                  <m:bar>
                    <m:barPr>
                      <m:pos m:val="top"/>
                    </m:barPr>
                    <m:e>
                      <m:r>
                        <w:rPr>
                          <w:sz w:val="28"/>
                        </w:rPr>
                        <m:t>G</m:t>
                      </m:r>
                    </m:e>
                  </m:bar>
                </m:e>
                <m:sub>
                  <m:r>
                    <w:rPr>
                      <w:sz w:val="28"/>
                    </w:rPr>
                    <m:t>i</m:t>
                  </m:r>
                </m:sub>
              </m:sSub>
            </m:e>
          </m:nary>
          <m:r>
            <w:rPr>
              <w:sz w:val="28"/>
            </w:rPr>
            <m:t> </m:t>
          </m:r>
          <m:r>
            <w:rPr>
              <w:sz w:val="28"/>
            </w:rPr>
            <m:t>Δ</m:t>
          </m:r>
          <m:sSub>
            <m:e>
              <m:r>
                <w:rPr>
                  <w:sz w:val="28"/>
                </w:rPr>
                <m:t>t</m:t>
              </m:r>
            </m:e>
            <m:sub>
              <m:r>
                <w:rPr>
                  <w:sz w:val="28"/>
                </w:rPr>
                <m:t>i</m:t>
              </m:r>
            </m:sub>
          </m:sSub>
          <m:r>
            <w:rPr>
              <w:sz w:val="28"/>
            </w:rPr>
            <m:rPr>
              <m:sty m:val="p"/>
            </m:rPr>
            <m:t>,</m:t>
          </m:r>
          <m:r>
            <w:rPr>
              <w:sz w:val="28"/>
            </w:rPr>
            <m:rPr>
              <m:sty m:val="p"/>
            </m:rPr>
            <m:t>   (E1.04)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em que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w:rPr>
                    <w:sz w:val="28"/>
                  </w:rPr>
                  <m:t>G</m:t>
                </m:r>
              </m:e>
            </m:bar>
          </m:e>
          <m:sub>
            <m:r>
              <w:rPr>
                <w:sz w:val="28"/>
              </w:rPr>
              <m:t>i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a irradiância média do intervalo,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Δ</m:t>
        </m:r>
        <m:sSub>
          <m:e>
            <m:r>
              <w:rPr>
                <w:sz w:val="28"/>
              </w:rPr>
              <m:t>t</m:t>
            </m:r>
          </m:e>
          <m:sub>
            <m:r>
              <w:rPr>
                <w:sz w:val="28"/>
              </w:rPr>
              <m:t>i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sua duração 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rPr>
            <m:sty m:val="p"/>
            <m:scr m:val="script"/>
          </m:rPr>
          <m:t>V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o conjunto de intervalos válidos. Essa soma representa a energia dos intervalos efetivamente incluídos; não reconstitui a energia dos intervalos ausentes. Se o registro for uma amostra instantânea, a integração por soma ou por outra quadratura constitui uma aproximação adicional. Portanto, a resolução nominal de um arquivo não informa, por si só, se seus valores são instantâneos, médios ou acumulados. A interpretação deve ser obtida nos metadados de aquisição e processamento (DUFFIE; BECKMAN; BLAIR, 2020, p. 10; SENGUPTA et al., 2024, cap. 6, p. 24–25).</w:t>
      </w:r>
    </w:p>
    <w:bookmarkEnd w:id="20"/>
    <w:bookmarkStart w:id="21" w:name="X3c2eacbc98ad1a80d4f07ee11382bfb7f38555b"/>
    <w:p>
      <w:pPr>
        <w:pStyle w:val="Heading2"/>
        <w:widowControl/>
      </w:pPr>
      <w:r>
        <w:rPr>
          <w:b/>
        </w:rPr>
        <w:t>1.2.2 COMPONENTES DIRETA, DIFUSA E GLOBAL HORIZONTAL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interação da radiação solar com a atmosfera produz um campo radiativo com contribuições direcionais distintas. A irradiância direta normal, DNI, é referida a uma superfície perpendicular à direção solar e à radiação proveniente de uma pequena região angular centrada no Sol. A irradiância difusa horizontal, DHI, é a contribuição do céu recebida por uma superfície horizontal, excluída a região angular atribuída à componente direta. A irradiância global horizontal, GHI, representa a irradiância descendente total recebida no plano horizontal. As três grandezas são expressas em W/m²; suas diferenças decorrem da direção de recepção e do campo angular integrado, e não da unidade (SENGUPTA et al., 2024, cap. 2, p. 9–10).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Para o Sol acima do horizonte e para definições radiométricas compatíveis, o balanço geométrico ideal é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r>
            <w:rPr>
              <w:sz w:val="28"/>
            </w:rPr>
            <m:rPr>
              <m:sty m:val="p"/>
            </m:rPr>
            <m:t>G</m:t>
          </m:r>
          <m:r>
            <w:rPr>
              <w:sz w:val="28"/>
            </w:rPr>
            <m:rPr>
              <m:sty m:val="p"/>
            </m:rPr>
            <m:t>H</m:t>
          </m:r>
          <m:r>
            <w:rPr>
              <w:sz w:val="28"/>
            </w:rPr>
            <m:rPr>
              <m:sty m:val="p"/>
            </m:rPr>
            <m:t>I</m:t>
          </m:r>
          <m:r>
            <w:rPr>
              <w:sz w:val="28"/>
            </w:rPr>
            <m:rPr>
              <m:sty m:val="p"/>
            </m:rPr>
            <m:t>=</m:t>
          </m:r>
          <m:r>
            <w:rPr>
              <w:sz w:val="28"/>
            </w:rPr>
            <m:rPr>
              <m:sty m:val="p"/>
            </m:rPr>
            <m:t>D</m:t>
          </m:r>
          <m:r>
            <w:rPr>
              <w:sz w:val="28"/>
            </w:rPr>
            <m:rPr>
              <m:sty m:val="p"/>
            </m:rPr>
            <m:t>N</m:t>
          </m:r>
          <m:r>
            <w:rPr>
              <w:sz w:val="28"/>
            </w:rPr>
            <m:rPr>
              <m:sty m:val="p"/>
            </m:rPr>
            <m:t>I</m:t>
          </m:r>
          <m:r>
            <w:rPr>
              <w:sz w:val="28"/>
            </w:rPr>
            <m:rPr>
              <m:sty m:val="p"/>
            </m:rPr>
            <m:t>cos</m:t>
          </m:r>
          <m:sSub>
            <m:e>
              <m:r>
                <w:rPr>
                  <w:sz w:val="28"/>
                </w:rPr>
                <m:t>θ</m:t>
              </m:r>
            </m:e>
            <m:sub>
              <m:r>
                <w:rPr>
                  <w:sz w:val="28"/>
                </w:rPr>
                <m:t>z</m:t>
              </m:r>
            </m:sub>
          </m:sSub>
          <m:r>
            <w:rPr>
              <w:sz w:val="28"/>
            </w:rPr>
            <m:rPr>
              <m:sty m:val="p"/>
            </m:rPr>
            <m:t>+</m:t>
          </m:r>
          <m:r>
            <w:rPr>
              <w:sz w:val="28"/>
            </w:rPr>
            <m:rPr>
              <m:sty m:val="p"/>
            </m:rPr>
            <m:t>D</m:t>
          </m:r>
          <m:r>
            <w:rPr>
              <w:sz w:val="28"/>
            </w:rPr>
            <m:rPr>
              <m:sty m:val="p"/>
            </m:rPr>
            <m:t>H</m:t>
          </m:r>
          <m:r>
            <w:rPr>
              <w:sz w:val="28"/>
            </w:rPr>
            <m:rPr>
              <m:sty m:val="p"/>
            </m:rPr>
            <m:t>I</m:t>
          </m:r>
          <m:r>
            <w:rPr>
              <w:sz w:val="28"/>
            </w:rPr>
            <m:rPr>
              <m:sty m:val="p"/>
            </m:rPr>
            <m:t>.</m:t>
          </m:r>
          <m:r>
            <w:rPr>
              <w:sz w:val="28"/>
            </w:rPr>
            <m:rPr>
              <m:sty m:val="p"/>
            </m:rPr>
            <m:t>   (E1.05)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produto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rPr>
            <m:sty m:val="p"/>
          </m:rPr>
          <m:t>D</m:t>
        </m:r>
        <m:r>
          <w:rPr>
            <w:sz w:val="28"/>
          </w:rPr>
          <m:rPr>
            <m:sty m:val="p"/>
          </m:rPr>
          <m:t>N</m:t>
        </m:r>
        <m:r>
          <w:rPr>
            <w:sz w:val="28"/>
          </w:rPr>
          <m:rPr>
            <m:sty m:val="p"/>
          </m:rPr>
          <m:t>I</m:t>
        </m:r>
        <m:r>
          <w:rPr>
            <w:sz w:val="28"/>
          </w:rPr>
          <m:rPr>
            <m:sty m:val="p"/>
          </m:rPr>
          <m:t>cos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a componente direta projetada na horizontal. A equação deve utilizar um ângulo solar coerente com a aplicação, distinguindo a geometria da refração quando necessário. No fechamento de medidas reais, também importam o campo de visão do pireliômetro, o sombreamento aplicado ao sensor de DHI, a resposta angular dos sensores e sua sincronização. Por isso, um resíduo entre os termos medidos não pode ser atribuído automaticamente a uma falha atmosférica ou a um único instrumento (SENGUPTA et al., 2024, cap. 2, p. 10; cap. 3, p. 5–7).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equação de fechamento é uma restrição física útil, mas não transforma uma medição isolada de GHI em três observações independentes. A estimação de DNI e DHI a partir de GHI requer modelos de decomposição, cuja validade depende de condições e escalas temporais. Próximo ao horizonte, estimar DNI pela divisão da componente direta horizontal por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rPr>
            <m:sty m:val="p"/>
          </m:rPr>
          <m:t>cos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amplifica a sensibilidade a pequenos erros, pois o denominador tende a zero. A caracterização das componentes deve, portanto, manter explícita a distinção entre valores medidos e estimados (SENGUPTA et al., 2024, cap. 2, p. 10–11).</w:t>
      </w:r>
    </w:p>
    <w:bookmarkEnd w:id="21"/>
    <w:bookmarkStart w:id="22" w:name="X4a72c6609e458fccae0c45f82fe0ee175885281"/>
    <w:p>
      <w:pPr>
        <w:pStyle w:val="Heading2"/>
        <w:widowControl/>
      </w:pPr>
      <w:r>
        <w:rPr>
          <w:b/>
        </w:rPr>
        <w:t>1.2.3 REFERÊNCIA EXTRATERRESTRE E IRRADIÂNCIA NO PLANO DO ARRANJO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irradiância extraterrestre normal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n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 sua projeção horizontal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</m:oMath>
      <w:r>
        <w:rPr>
          <w:rFonts w:ascii="Times New Roman" w:hAnsi="Times New Roman"/>
          <w:i w:val="0"/>
        </w:rPr>
        <w:t xml:space="preserve">, definidas em 1.1, constituem referências anteriores à interação com a atmosfera. A presença do mesmo plano horizontal em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 GHI não as torna equivalentes: a primeira representa a projeção extraterrestre, enquanto a segunda descreve o campo radiativo disponível na superfície. Também não se deve impor que toda observação de curta duração seja necessariamente inferior a essa projeção, pois a redistribuição por nuvens pode produzir episódios de intensificação local da irradiância global (DUFFIE; BECKMAN; BLAIR, 2020, p. 9–10; SENGUPTA et al., 2024, cap. 6, p. 2).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irradiância no plano do arranjo, POA, é referida à superfície dos módulos, que pode ser inclinada ou rastreada. Sua descrição separa a contribuição direta projetada nesse plano, a difusa proveniente do céu e a refletida pelo entorno. Essa separação conceitual identifica a natureza das parcelas sem impor um modelo de distribuição angular da radiação difusa. O cálculo de transposição e suas hipóteses pertencem à subseção 3.1; o albedo e a instalação são desenvolvidos nas subseções 2.2 e 2.4. A Seção 1 estabelece as grandezas necessárias a essas etapas, sem antecipar seus resultados (SENGUPTA et al., 2024, cap. 2, p. 1 e 9–11).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Grandeza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Definição e plano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Unidade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extraterrestre normal ao feixe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Projeção extraterrestre na horizontal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DNI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Componente direta referida à normal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DHI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Componente difusa recebida na horizontal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GHI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global recebida na horizontal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POA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recebida no plano do arranjo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Irradiação no plano e intervalo declarados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J/m², Wh/m² ou kWh/m²</w:t>
            </w:r>
          </w:p>
        </w:tc>
      </w:tr>
    </w:tbl>
    <w:p>
      <w:pPr>
        <w:pStyle w:val="BodyText"/>
        <w:widowControl/>
        <w:spacing w:line="264" w:lineRule="auto"/>
        <w:ind w:firstLine="0"/>
        <w:jc w:val="left"/>
      </w:pPr>
      <w:r>
        <w:rPr>
          <w:rFonts w:ascii="Times New Roman" w:hAnsi="Times New Roman"/>
          <w:i w:val="0"/>
          <w:sz w:val="22"/>
        </w:rPr>
        <w:t xml:space="preserve">Fonte: elaboração de Samuel Constantino Teixeira a partir de Duffie, Beckman e Blair (2020, p. 9–15) e Sengupta et al. (2024, cap. 2, p. 9–11).</w:t>
      </w:r>
    </w:p>
    <w:bookmarkEnd w:id="22"/>
    <w:bookmarkStart w:id="23" w:name="aplicação-ao-pvdaq-2107-e-continuidade"/>
    <w:p>
      <w:pPr>
        <w:pStyle w:val="Heading2"/>
        <w:widowControl/>
      </w:pPr>
      <w:r>
        <w:rPr>
          <w:b/>
        </w:rPr>
        <w:t>1.2.4 APLICAÇÃO AO PVDAQ 2107 E CONTINUIDADE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No conjunto utilizado pelo capítulo, a POA observada constitui a entrada radiométrica local da cadeia principal. O arquivo preparado preserva o início de cada intervalo em UTC e um indicador da presença das três amostras previstas na agregação de 15 minutos. A posição solar é calculada no ponto médio, enquanto a POA conserva a natureza de média do intervalo. A Figura G01, discutida em 1.1, apresenta essas informações com suas diferentes origens explicitadas. Esse procedimento permite relacionar geometria e observação sem transformar o sensor POA em um sensor horizontal.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As componentes GHI, DNI e DHI eventualmente reconstruídas a partir da POA permanecem estimativas dependentes de modelos e hipóteses. A reprodução da POA de entrada por uma transposição inversa seguida da transposição direta não constitui validação independente dessas componentes. Essa conclusão resulta da dependência entre entradas e saídas do procedimento, e não de uma comparação realizada com sensores locais adicionais. A verificação das componentes exigiria referências observacionais ou estimativas externas com incerteza e independência documentadas.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distinção entre potência radiativa, energia integrada e planos de recepção prepara a análise da modulação atmosférica em 1.3. Ela também define o requisito de comparabilidade para 1.4: duas séries somente podem ser confrontadas após compatibilizar a grandeza, o plano, o tempo de integração e o domínio de observação.</w:t>
      </w:r>
    </w:p>
    <w:bookmarkEnd w:id="23"/>
    <w:bookmarkEnd w:id="24"/>
    <w:bookmarkStart w:id="25" w:name="referências"/>
    <w:p>
      <w:pPr>
        <w:pStyle w:val="Heading1"/>
        <w:widowControl/>
      </w:pPr>
      <w:r>
        <w:rPr>
          <w:b/>
        </w:rPr>
        <w:t>REFERÊNCIAS</w:t>
      </w:r>
    </w:p>
    <w:p>
      <w:pPr>
        <w:pStyle w:val="FirstParagraph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DUFFIE, John A.; BECKMAN, William A.; BLAIR, Nathan.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engineering of thermal processes, photovoltaics and wind</w:t>
      </w:r>
      <w:r>
        <w:rPr>
          <w:rFonts w:ascii="Times New Roman" w:hAnsi="Times New Roman"/>
          <w:i w:val="0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NOAA GLOBAL MONITORING LABORATORY.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General solar position calculations</w:t>
      </w:r>
      <w:r>
        <w:rPr>
          <w:rFonts w:ascii="Times New Roman" w:hAnsi="Times New Roman"/>
          <w:i w:val="0"/>
        </w:rPr>
        <w:t xml:space="preserve">. [S. l.]: NOAA, [s. d.]. 2 p. Disponível em: https://gml.noaa.gov/grad/solcalc/solareqns.PDF.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PVLIB CONTRIBUTORS.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pvlib python: get_extra_radiation e spa_python</w:t>
      </w:r>
      <w:r>
        <w:rPr>
          <w:rFonts w:ascii="Times New Roman" w:hAnsi="Times New Roman"/>
          <w:i w:val="0"/>
        </w:rPr>
        <w:t xml:space="preserve">. Versão 0.16.1. 2026. Disponível em: https://pvlib-python.readthedocs.io/en/v0.16.1/reference/generated/pvlib.irradiance.get_extra_radiation.html.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REDA, Ibrahim; ANDREAS, Afshin. Solar position algorithm for solar radiation applications.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Energy</w:t>
      </w:r>
      <w:r>
        <w:rPr>
          <w:rFonts w:ascii="Times New Roman" w:hAnsi="Times New Roman"/>
          <w:i w:val="0"/>
        </w:rPr>
        <w:t xml:space="preserve">, v. 76, n. 5, p. 577–589, 2004. DOI: https://doi.org/10.1016/j.solener.2003.12.003.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REDA, Ibrahim; ANDREAS, Afshin.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position algorithm for solar radiation applications</w:t>
      </w:r>
      <w:r>
        <w:rPr>
          <w:rFonts w:ascii="Times New Roman" w:hAnsi="Times New Roman"/>
          <w:i w:val="0"/>
        </w:rPr>
        <w:t xml:space="preserve">. Revised January 2008. Golden: National Renewable Energy Laboratory, 2008. Relatório NREL/TP-560-34302. DOI: https://doi.org/10.2172/15003974.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SENGUPTA, Manajit et al. (ed.).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</w:rPr>
        <w:t xml:space="preserve">. 4. ed. Golden: National Renewable Energy Laboratory, 2024. Relatório NREL/TP-5D00-88300. Disponível em: https://docs.nrel.gov/docs/fy24osti/88300.pdf.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5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2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40" w:before="18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32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2026-10-27T13:42:29Z</dcterms:created>
  <dcterms:modified xsi:type="dcterms:W3CDTF">2026-10-27T13:42:29Z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