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dição-e-estimativa-do-recurso-solar"/>
    <w:p>
      <w:pPr>
        <w:pStyle w:val="Heading1"/>
        <w:widowControl/>
      </w:pPr>
      <w:r>
        <w:rPr>
          <w:b/>
        </w:rPr>
        <w:t>1.4 MEDIÇÃO E ESTIMATIVA DO RECURSO SOLAR</w:t>
      </w:r>
    </w:p>
    <w:bookmarkStart w:id="20" w:name="medições-radiométricas-de-superfície"/>
    <w:p>
      <w:pPr>
        <w:pStyle w:val="Heading2"/>
        <w:widowControl/>
      </w:pPr>
      <w:r>
        <w:rPr>
          <w:b/>
        </w:rPr>
        <w:t>1.4.1 MEDIÇÕES RADIOMÉTRICAS DE SUPERFÍCIE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caracterização do recurso solar combina observações de superfície e estimativas que ampliam a cobertura temporal ou espacial. A medição local fornece uma referência próxima às condições de operação do sistema, mas sua utilidade depende da grandeza medida, da instalação, da manutenção e da rastreabilidade da calibração. Um instrumento não representa indistintamente todas as componentes da radiação, e a existência de um arquivo numérico não substitui a avaliação de sua qualidade (SENGUPTA et al., 2024, cap. 3, p. 3–7; cap. 4, p. 1).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Piranômetros instalados horizontalmente são empregados na medição de GHI; com o bloqueio adequado da contribuição direta, permitem medir DHI. Pireliômetros acompanham a direção solar e medem DNI em um campo de visão restrito. Sensores posicionados no plano dos módulos medem a irradiância correspondente à orientação dessa superfície. Portanto, o plano de montagem é parte da definição do mensurando, e não um detalhe dispensável dos metadados (SENGUPTA et al., 2024, cap. 3, p. 5–7).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tecnologia do detector também importa. Sensores de termopilha e sensores fotoelétricos apresentam respostas espectrais e temporais diferentes. Uma comparação deve considerar essas características, além de nivelamento, obstruções, limpeza, sincronização e estabilidade da aquisição. A classe ou a especificação nominal do instrumento não encerra a incerteza da medição em campo, porque instalação, ambiente e processamento acrescentam contribuições próprias (SENGUPTA et al., 2024, cap. 3, p. 5–7; cap. 10, p. 5–6).</w:t>
      </w:r>
    </w:p>
    <w:bookmarkEnd w:id="20"/>
    <w:bookmarkStart w:id="21" w:name="X61ce28bd515bd4de75c5eed78a44cb356aa3c4a"/>
    <w:p>
      <w:pPr>
        <w:pStyle w:val="Heading2"/>
        <w:widowControl/>
      </w:pPr>
      <w:r>
        <w:rPr>
          <w:b/>
        </w:rPr>
        <w:t>1.4.2 ESTIMATIVAS POR SATÉLITE, REANÁLISES E ATLAS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Produtos derivados de satélite estimam a radiação na superfície a partir de informações observadas pelo sensor orbital e de modelos que representam as interações atmosféricas. Métodos físicos podem recuperar propriedades de nuvens e utilizá-las em modelos de transferência radiativa; métodos empíricos ou semiempíricos relacionam observações orbitais e condições radiométricas de superfície por procedimentos de calibração e parametrização. Dessa forma, o valor de irradiância de superfície de um produto de satélite é uma estimativa modelada, ainda que utilize medições remotas como entrada (SENGUPTA et al., 2024, cap. 7, p. 1–3 e 7–8).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Reanálises fornecem séries históricas produzidas por sistemas de modelagem atmosférica com assimilação de observações. A irradiância de superfície é uma variável diagnosticada pelo sistema e permanece dependente da representação de nuvens e demais processos radiativos. ERA5 e MERRA-2 são exemplos discutidos na literatura técnica; sua identificação como reanálises não deve ser confundida com a existência de uma estação radiométrica em cada ponto da grade. Comparações locais devem examinar a documentação específica do produto e sua aderência ao regime de interesse (SENGUPTA et al., 2024, cap. 7, p. 2).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Atlas solarimétricos sintetizam a distribuição espacial de indicadores do recurso, frequentemente como médias ou totais de períodos extensos. A interpretação de um mapa depende da base subjacente, do período, da componente e da unidade. Um atlas não constitui necessariamente uma medição independente dos produtos que utiliza e, por apresentar uma síntese climatológica, não reconstitui automaticamente uma sequência diária observada. Essa interpretação é uma consequência da agregação espacial e temporal: a comparação deve preservar o suporte estatístico da grandeza representada (SENGUPTA et al., 2024, cap. 6, p. 17 e 24; cap. 8, p. 4).</w:t>
      </w:r>
    </w:p>
    <w:bookmarkEnd w:id="21"/>
    <w:bookmarkStart w:id="22" w:name="resolução-e-representatividade"/>
    <w:p>
      <w:pPr>
        <w:pStyle w:val="Heading2"/>
        <w:widowControl/>
      </w:pPr>
      <w:r>
        <w:rPr>
          <w:b/>
        </w:rPr>
        <w:t>1.4.3 RESOLUÇÃO E REPRESENTATIVIDADE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resolução espacial informa o suporte ou detalhamento nominal do produto, enquanto a resolução temporal descreve sua frequência ou agregação. Representatividade é a capacidade de esses dados descreverem o domínio e o fenômeno de interesse. Uma estação caracteriza a recepção radiativa no local e no plano de seu sensor; um produto em grade representa uma estimativa associada a uma área e a um procedimento espacial. Os dois suportes podem responder de modo diferente a heterogeneidades de nebulosidade e relevo, mesmo com carimbos temporais coincidentes (SENGUPTA et al., 2024, cap. 6, p. 17).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No tempo, coincidência de rótulos não assegura equivalência de integração. Um valor instantâneo às 12 h, uma média entre 12 h e 12 h 15 min e uma energia acumulada desde o início da hora representam objetos diferentes. Antes do confronto, é necessário verificar o fuso, a posição do rótulo no intervalo, a duração da integração e o tratamento do horário de verão. A harmonização deve preservar a energia quando converte entre irradiância média e irradiação. Aumentar artificialmente a frequência de uma série por interpolação não recupera as flutuações que não foram observadas (DUFFIE; BECKMAN; BLAIR, 2020, p. 10–11; SENGUPTA et al., 2024, cap. 6, p. 24–25).</w:t>
      </w:r>
    </w:p>
    <w:bookmarkEnd w:id="22"/>
    <w:bookmarkStart w:id="23" w:name="qualidade-completude-e-incerteza"/>
    <w:p>
      <w:pPr>
        <w:pStyle w:val="Heading2"/>
        <w:widowControl/>
      </w:pPr>
      <w:r>
        <w:rPr>
          <w:b/>
        </w:rPr>
        <w:t>1.4.4 QUALIDADE, COMPLETUDE E INCERTEZA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controle de qualidade deve identificar registros ausentes, valores suspeitos e condições que comprometem a interpretação física. Testes automáticos precisam ser complementados pela inspeção das séries e pelo conhecimento da instrumentação. Um único sensor POA limita a aplicação de testes que dependeriam de observações independentes de outras componentes. A remoção de dados também altera a amostra disponível e precisa ser acompanhada de justificativa e identificação dos intervalos envolvidos (SENGUPTA et al., 2024, cap. 4, p. 1 e 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completude pode ser expressa pela razão entre os registros válidos e os registros esperados no domínio analisado. Esse indicador deve informar se abrange o período inteiro, apenas os intervalos diurnos ou uma amostra comum entre produtos. Percentuais obtidos com denominadores distintos não são diretamente comparáveis. Um limite de aceitação é uma decisão do protocolo do estudo e não deve ser apresentado como regra universal sem fundamentação específica. Além disso, alta completude não demonstra ausência de viés, assim como uma série sem lacunas pode conter valores sistematicamente incorretos.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incerteza da medição reúne contribuições do instrumento, da calibração, da aquisição e das condições de campo. Nas estimativas modeladas, acrescentam-se limitações das entradas, da representação física e de sua propagação até a saída. A comparação com uma referência observacional também incorpora a incerteza dessa referência e diferenças de representatividade. Assim, métricas de erro são evidências sobre a discrepância na amostra confrontada, mas não equivalem, isoladamente, a uma descrição completa da incerteza do recurso (SENGUPTA et al., 2024, cap. 10, p. 5–6). O tratamento quantitativo do desempenho da modelagem e de suas métricas permanece atribuído à Seção 4.</w:t>
      </w:r>
    </w:p>
    <w:bookmarkEnd w:id="23"/>
    <w:bookmarkStart w:id="24" w:name="aplicação-e-limites-do-pvdaq-2107"/>
    <w:p>
      <w:pPr>
        <w:pStyle w:val="Heading2"/>
        <w:widowControl/>
      </w:pPr>
      <w:r>
        <w:rPr>
          <w:b/>
        </w:rPr>
        <w:t>1.4.5 APLICAÇÃO E LIMITES DO PVDAQ 2107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estudo coletivo utiliza a POA local como entrada radiativa principal e calcula os ângulos solares com a localização e o tempo documentados. No arquivo de 15 minutos empregado para a conferência da Seção 1, a grade temporal contém 8.736 intervalos entre 1º de abril e 1º de julho de 2024, com término exclusivo, correspondendo a 91 dias locais. Essa quantidade descreve a grade esperada, e não demonstra que todas as observações sejam válidas.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Em 17 de maio, há 96 posições temporais, 94 médias POA não ausentes e 68 intervalos com três amostras de irradiância na agregação. São indicadores diferentes: disponibilidade da média e completude das amostras de origem. Esses resultados foram obtidos pela leitura e conferência do CSV preparado, sem preencher lacunas ou transformar a série reconstruída em observação. A Figura G01 utiliza os pontos médios para a apresentação conjunta da geometria e das médias observadas, mantendo a diferença de suporte temporal registrada no método.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Não foram disponibilizadas, na seleção utilizada pelo capítulo, medições locais independentes de GHI, DNI e DHI. Consequentemente, estimativas obtidas a partir da POA devem conservar a identificação de reconstrução e não podem funcionar como referência independente para a própria cadeia que as gerou. A caracterização do recurso termina, portanto, com um conjunto de entradas, convenções e limitações verificáveis. Essas informações fundamentam as seções seguintes sobre ambiente de instalação, conversão fotovoltaica e avaliação de desempenho, preservando o alcance das evidências disponíveis.</w:t>
      </w:r>
    </w:p>
    <w:bookmarkEnd w:id="24"/>
    <w:bookmarkEnd w:id="25"/>
    <w:bookmarkStart w:id="26" w:name="referências"/>
    <w:p>
      <w:pPr>
        <w:pStyle w:val="Heading1"/>
        <w:widowControl/>
      </w:pPr>
      <w:r>
        <w:rPr>
          <w:b/>
        </w:rPr>
        <w:t>REFERÊNCIAS</w:t>
      </w:r>
    </w:p>
    <w:p>
      <w:pPr>
        <w:pStyle w:val="FirstParagraph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DUFFIE, John A.; BECKMAN, William A.; BLAIR, Nathan.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engineering of thermal processes, photovoltaics and wind</w:t>
      </w:r>
      <w:r>
        <w:rPr>
          <w:rFonts w:ascii="Times New Roman" w:hAnsi="Times New Roman"/>
          <w:i w:val="0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NOAA GLOBAL MONITORING LABORATORY.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General solar position calculations</w:t>
      </w:r>
      <w:r>
        <w:rPr>
          <w:rFonts w:ascii="Times New Roman" w:hAnsi="Times New Roman"/>
          <w:i w:val="0"/>
        </w:rPr>
        <w:t xml:space="preserve">. [S. l.]: NOAA, [s. d.]. 2 p. Disponível em: https://gml.noaa.gov/grad/solcalc/solareqns.PDF.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PVLIB CONTRIBUTORS.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pvlib python: get_extra_radiation e spa_python</w:t>
      </w:r>
      <w:r>
        <w:rPr>
          <w:rFonts w:ascii="Times New Roman" w:hAnsi="Times New Roman"/>
          <w:i w:val="0"/>
        </w:rPr>
        <w:t xml:space="preserve">. Versão 0.16.1. 2026. Disponível em: https://pvlib-python.readthedocs.io/en/v0.16.1/reference/generated/pvlib.irradiance.get_extra_radiation.html.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 Solar position algorithm for solar radiation applications.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Energy</w:t>
      </w:r>
      <w:r>
        <w:rPr>
          <w:rFonts w:ascii="Times New Roman" w:hAnsi="Times New Roman"/>
          <w:i w:val="0"/>
        </w:rPr>
        <w:t xml:space="preserve">, v. 76, n. 5, p. 577–589, 2004. DOI: https://doi.org/10.1016/j.solener.2003.12.003.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position algorithm for solar radiation applications</w:t>
      </w:r>
      <w:r>
        <w:rPr>
          <w:rFonts w:ascii="Times New Roman" w:hAnsi="Times New Roman"/>
          <w:i w:val="0"/>
        </w:rPr>
        <w:t xml:space="preserve">. Revised January 2008. Golden: National Renewable Energy Laboratory, 2008. Relatório NREL/TP-560-34302. DOI: https://doi.org/10.2172/15003974.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SENGUPTA, Manajit et al. (ed.).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</w:rPr>
        <w:t xml:space="preserve">. 4. ed. Golden: National Renewable Energy Laboratory, 2024. Relatório NREL/TP-5D00-88300. Disponível em: https://docs.nrel.gov/docs/fy24osti/88300.pdf.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6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32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2026-10-27T13:42:30Z</dcterms:created>
  <dcterms:modified xsi:type="dcterms:W3CDTF">2026-10-27T13:42:30Z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