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041be9165729c396207ed2594ece229ca47a3ad"/>
    <w:p>
      <w:pPr>
        <w:pStyle w:val="Heading1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1.2 GRANDEZAS RADIOMÉTRICAS E COMPONENTES DA RADIAÇÃO</w:t>
      </w:r>
    </w:p>
    <w:bookmarkStart w:id="20" w:name="irradiância-e-irradiação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1.2.1 IRRADIÂNCIA E IRRADIAÇÃO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descrição do recurso solar exige identificar a grandeza física, o plano de referência e o intervalo temporal a que cada valor se refere. A irradiância corresponde à potência radiante incidente por unidade de área, expressa em watt por metro quadrado (W/m²). A irradiação representa a energia radiante recebida por unidade de área durante um intervalo definido, expressa no Sistema Internacional em joule por metro quadrado (J/m²). O uso de Wh/m² ou kWh/m² é conveniente em aplicações energéticas, desde que o intervalo de integração seja explicitado. Assim, irradiância e irradiação descrevem aspectos relacionados do recurso, mas não podem ser substituídas uma pela outra em equações ou eixos gráficos (DUFFIE; BECKMAN; BLAIR, 2020, p. 10).</w:t>
      </w:r>
    </w:p>
    <w:p>
      <w:pPr>
        <w:pStyle w:val="BodyText"/>
        <w:keepNext/>
        <w:widowControl/>
        <w:spacing w:line="360" w:lineRule="auto" w:after="120"/>
        <w:ind w:firstLine="709"/>
      </w:pPr>
      <w:r>
        <w:t>A irradiação recebida no plano e intervalo considerados é obtida pela integração temporal da irradiância, conforme a equação (1):</w:t>
      </w:r>
    </w:p>
    <w:p>
      <w:pPr>
        <w:keepNext/>
        <w:keepLines/>
        <w:widowControl/>
        <w:tabs>
          <w:tab w:pos="4535" w:val="center"/>
          <w:tab w:pos="9071" w:val="right"/>
        </w:tabs>
        <w:spacing w:before="160" w:after="160" w:line="276" w:lineRule="auto"/>
        <w:ind w:firstLine="0" w:left="0" w:right="0"/>
        <w:jc w:val="left"/>
      </w:pPr>
      <w:r>
        <w:rPr>
          <w:rFonts w:ascii="Times New Roman" w:hAnsi="Times New Roman"/>
          <w:sz w:val="24"/>
        </w:rPr>
        <w:tab/>
      </w:r>
      <m:oMath>
        <m:sSub>
          <m:e>
            <m:r>
              <w:rPr>
                <w:sz w:val="24"/>
                <w:szCs w:val="24"/>
              </w:rPr>
              <m:t>H</m:t>
            </m:r>
          </m:e>
          <m:sub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w:rPr>
                        <w:sz w:val="24"/>
                        <w:szCs w:val="24"/>
                      </w:rPr>
                      <m:t>t</m:t>
                    </m:r>
                  </m:e>
                  <m:sub>
                    <m:r>
                      <w:rPr>
                        <w:sz w:val="24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sz w:val="24"/>
                    <w:szCs w:val="24"/>
                  </w:rPr>
                  <m:t>,</m:t>
                </m:r>
                <m:sSub>
                  <m:e>
                    <m:r>
                      <w:rPr>
                        <w:sz w:val="24"/>
                        <w:szCs w:val="24"/>
                      </w:rPr>
                      <m:t>t</m:t>
                    </m:r>
                  </m:e>
                  <m:sub>
                    <m:r>
                      <w:rPr>
                        <w:sz w:val="24"/>
                        <w:szCs w:val="24"/>
                      </w:rPr>
                      <m:t>2</m:t>
                    </m:r>
                  </m:sub>
                </m:sSub>
              </m:e>
            </m:d>
          </m:sub>
        </m:sSub>
        <m:r>
          <m:rPr>
            <m:sty m:val="p"/>
          </m:rPr>
          <w:rPr>
            <w:sz w:val="24"/>
            <w:szCs w:val="24"/>
          </w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sSub>
              <m:e>
                <m:r>
                  <w:rPr>
                    <w:sz w:val="24"/>
                    <w:szCs w:val="24"/>
                  </w:rPr>
                  <m:t>t</m:t>
                </m:r>
              </m:e>
              <m:sub>
                <m:r>
                  <w:rPr>
                    <w:sz w:val="24"/>
                    <w:szCs w:val="24"/>
                  </w:rPr>
                  <m:t>1</m:t>
                </m:r>
              </m:sub>
            </m:sSub>
          </m:sub>
          <m:sup>
            <m:sSub>
              <m:e>
                <m:r>
                  <w:rPr>
                    <w:sz w:val="24"/>
                    <w:szCs w:val="24"/>
                  </w:rPr>
                  <m:t>t</m:t>
                </m:r>
              </m:e>
              <m:sub>
                <m:r>
                  <w:rPr>
                    <w:sz w:val="24"/>
                    <w:szCs w:val="24"/>
                  </w:rPr>
                  <m:t>2</m:t>
                </m:r>
              </m:sub>
            </m:sSub>
          </m:sup>
          <m:e>
            <m:r>
              <w:rPr>
                <w:sz w:val="24"/>
                <w:szCs w:val="24"/>
              </w:rPr>
              <m:t>G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w:rPr>
                <w:sz w:val="24"/>
                <w:szCs w:val="24"/>
              </w:rPr>
              <m:t>t</m:t>
            </m:r>
          </m:e>
        </m:d>
        <m:r>
          <w:rPr>
            <w:sz w:val="24"/>
            <w:szCs w:val="24"/>
          </w:rPr>
          <m:t> </m:t>
        </m:r>
        <m:r>
          <m:rPr>
            <m:sty m:val="p"/>
          </m:rPr>
          <w:rPr>
            <w:sz w:val="24"/>
            <w:szCs w:val="24"/>
          </w:rPr>
          <m:t>d</m:t>
        </m:r>
        <m:r>
          <w:rPr>
            <w:sz w:val="24"/>
            <w:szCs w:val="24"/>
          </w:rPr>
          <m:t>t</m:t>
        </m:r>
        <m:r>
          <m:rPr>
            <m:sty m:val="p"/>
          </m:rPr>
          <w:rPr>
            <w:sz w:val="24"/>
            <w:szCs w:val="24"/>
          </w:rPr>
          <m:t>.</m:t>
        </m:r>
      </m:oMath>
      <w:r>
        <w:rPr>
          <w:rFonts w:ascii="Times New Roman" w:hAnsi="Times New Roman"/>
          <w:sz w:val="24"/>
        </w:rPr>
        <w:tab/>
        <w:t>(</w:t>
      </w:r>
      <w:bookmarkStart w:id="701" w:name="Equacao_integral"/>
      <w:fldSimple w:instr=" SEQ Equacao \* ARABIC ">
        <w:r>
          <w:rPr>
            <w:sz w:val="24"/>
          </w:rPr>
          <w:t>1</w:t>
        </w:r>
      </w:fldSimple>
      <w:bookmarkEnd w:id="701"/>
      <w:r>
        <w:rPr>
          <w:rFonts w:ascii="Times New Roman" w:hAnsi="Times New Roman"/>
          <w:sz w:val="24"/>
        </w:rPr>
        <w:t>)</w:t>
      </w:r>
    </w:p>
    <w:p>
      <w:pPr>
        <w:pStyle w:val="BodyText"/>
        <w:widowControl/>
        <w:spacing w:line="360" w:lineRule="auto" w:after="120"/>
        <w:ind w:firstLine="709"/>
        <w:jc w:val="both"/>
      </w:pPr>
      <w:r>
        <w:rPr>
          <w:rFonts w:ascii="Times New Roman" w:hAnsi="Times New Roman"/>
          <w:i w:val="0"/>
          <w:color w:val="000000"/>
          <w:sz w:val="24"/>
        </w:rPr>
        <w:t xml:space="preserve">em que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H</m:t>
            </m:r>
          </m:e>
          <m:sub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w:rPr>
                        <w:sz w:val="24"/>
                        <w:szCs w:val="24"/>
                      </w:rPr>
                      <m:t>t</m:t>
                    </m:r>
                  </m:e>
                  <m:sub>
                    <m:r>
                      <w:rPr>
                        <w:sz w:val="24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sz w:val="24"/>
                    <w:szCs w:val="24"/>
                  </w:rPr>
                  <m:t>,</m:t>
                </m:r>
                <m:sSub>
                  <m:e>
                    <m:r>
                      <w:rPr>
                        <w:sz w:val="24"/>
                        <w:szCs w:val="24"/>
                      </w:rPr>
                      <m:t>t</m:t>
                    </m:r>
                  </m:e>
                  <m:sub>
                    <m:r>
                      <w:rPr>
                        <w:sz w:val="24"/>
                        <w:szCs w:val="24"/>
                      </w:rPr>
                      <m:t>2</m:t>
                    </m:r>
                  </m:sub>
                </m:sSub>
              </m:e>
            </m:d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irradiação acumulada no plano considerado entre os limites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t</m:t>
            </m:r>
          </m:e>
          <m:sub>
            <m:r>
              <w:rPr>
                <w:sz w:val="24"/>
                <w:szCs w:val="24"/>
              </w:rPr>
              <m:t>1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t</m:t>
            </m:r>
          </m:e>
          <m:sub>
            <m:r>
              <w:rPr>
                <w:sz w:val="24"/>
                <w:szCs w:val="24"/>
              </w:rPr>
              <m:t>2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;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G</m:t>
        </m:r>
        <m:d>
          <m:dPr>
            <m:begChr m:val="("/>
            <m:endChr m:val=")"/>
            <m:sepChr m:val=""/>
            <m:grow/>
          </m:dPr>
          <m:e>
            <m:r>
              <w:rPr>
                <w:sz w:val="24"/>
                <w:szCs w:val="24"/>
              </w:rPr>
              <m:t>t</m:t>
            </m:r>
          </m:e>
        </m:d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irradiância nesse plano, em W/m²;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t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variável temporal; 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m:rPr>
            <m:sty m:val="p"/>
          </m:rPr>
          <w:rPr>
            <w:sz w:val="24"/>
            <w:szCs w:val="24"/>
          </w:rPr>
          <m:t>d</m:t>
        </m:r>
        <m:r>
          <w:rPr>
            <w:sz w:val="24"/>
            <w:szCs w:val="24"/>
          </w:rPr>
          <m:t>t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o elemento de tempo da integração. Com o tempo em segundos,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H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obtida em J/m²; com o tempo em horas, em Wh/m².</w:t>
      </w:r>
    </w:p>
    <w:p>
      <w:pPr>
        <w:pStyle w:val="FirstParagraph"/>
        <w:keepNext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equivalência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1</m:t>
        </m:r>
        <m:r>
          <w:rPr>
            <w:sz w:val="24"/>
            <w:szCs w:val="24"/>
          </w:rPr>
          <m:t> </m:t>
        </m:r>
        <m:r>
          <m:rPr>
            <m:sty m:val="p"/>
          </m:rPr>
          <w:rPr>
            <w:sz w:val="24"/>
            <w:szCs w:val="24"/>
          </w:rPr>
          <m:t>W</m:t>
        </m:r>
        <m:r>
          <m:rPr>
            <m:sty m:val="p"/>
          </m:rPr>
          <w:rPr>
            <w:sz w:val="24"/>
            <w:szCs w:val="24"/>
          </w:rPr>
          <m:t>h</m:t>
        </m:r>
        <m:r>
          <m:rPr>
            <m:sty m:val="p"/>
          </m:rPr>
          <w:rPr>
            <w:sz w:val="24"/>
            <w:szCs w:val="24"/>
          </w:rPr>
          <m:t>/</m:t>
        </m:r>
        <m:sSup>
          <m:e>
            <m:r>
              <m:rPr>
                <m:sty m:val="p"/>
              </m:rPr>
              <w:rPr>
                <w:sz w:val="24"/>
                <w:szCs w:val="24"/>
              </w:rPr>
              <m:t>m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sz w:val="24"/>
            <w:szCs w:val="24"/>
          </w:rPr>
          <m:t>=</m:t>
        </m:r>
        <m:r>
          <w:rPr>
            <w:sz w:val="24"/>
            <w:szCs w:val="24"/>
          </w:rPr>
          <m:t>3600</m:t>
        </m:r>
        <m:r>
          <w:rPr>
            <w:sz w:val="24"/>
            <w:szCs w:val="24"/>
          </w:rPr>
          <m:t> </m:t>
        </m:r>
        <m:r>
          <m:rPr>
            <m:sty m:val="p"/>
          </m:rPr>
          <w:rPr>
            <w:sz w:val="24"/>
            <w:szCs w:val="24"/>
          </w:rPr>
          <m:t>J</m:t>
        </m:r>
        <m:r>
          <m:rPr>
            <m:sty m:val="p"/>
          </m:rPr>
          <w:rPr>
            <w:sz w:val="24"/>
            <w:szCs w:val="24"/>
          </w:rPr>
          <m:t>/</m:t>
        </m:r>
        <m:sSup>
          <m:e>
            <m:r>
              <m:rPr>
                <m:sty m:val="p"/>
              </m:rPr>
              <w:rPr>
                <w:sz w:val="24"/>
                <w:szCs w:val="24"/>
              </w:rPr>
              <m:t>m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2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decorre da definição de watt e da conversão entre hora e segundo. Para registros que representam médias de intervalos, a forma discreta é expressa pela equação (2):</w:t>
      </w:r>
    </w:p>
    <w:p>
      <w:pPr>
        <w:keepNext/>
        <w:keepLines/>
        <w:widowControl/>
        <w:tabs>
          <w:tab w:pos="4535" w:val="center"/>
          <w:tab w:pos="9071" w:val="right"/>
        </w:tabs>
        <w:spacing w:before="160" w:after="160" w:line="276" w:lineRule="auto"/>
        <w:ind w:firstLine="0" w:left="0" w:right="0"/>
        <w:jc w:val="left"/>
      </w:pPr>
      <w:r>
        <w:rPr>
          <w:rFonts w:ascii="Times New Roman" w:hAnsi="Times New Roman"/>
          <w:sz w:val="24"/>
        </w:rPr>
        <w:tab/>
      </w:r>
      <m:oMath>
        <m:r>
          <w:rPr>
            <w:sz w:val="24"/>
            <w:szCs w:val="24"/>
          </w:rPr>
          <m:t>H</m:t>
        </m:r>
        <m:r>
          <m:rPr>
            <m:sty m:val="p"/>
          </m:rPr>
          <w:rPr>
            <w:sz w:val="24"/>
            <w:szCs w:val="24"/>
          </w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sz w:val="24"/>
                <w:szCs w:val="24"/>
              </w:rPr>
              <m:t>i</m:t>
            </m:r>
            <m:r>
              <m:rPr>
                <m:sty m:val="p"/>
              </m:rPr>
              <w:rPr>
                <w:sz w:val="24"/>
                <w:szCs w:val="24"/>
              </w:rPr>
              <m:t>∈</m:t>
            </m:r>
            <m:r>
              <m:rPr>
                <m:sty m:val="p"/>
                <m:scr m:val="script"/>
              </m:rPr>
              <w:rPr>
                <w:sz w:val="24"/>
                <w:szCs w:val="24"/>
              </w:rPr>
              <m:t>V</m:t>
            </m:r>
          </m:sub>
          <m:sup>
            <m:r>
              <w:rPr>
                <w:sz w:val="24"/>
                <w:szCs w:val="24"/>
              </w:rPr>
              <m:t/>
            </m:r>
          </m:sup>
          <m:e>
            <m:sSub>
              <m:e>
                <m:bar>
                  <m:barPr>
                    <m:pos m:val="top"/>
                  </m:barPr>
                  <m:e>
                    <m:r>
                      <w:rPr>
                        <w:sz w:val="24"/>
                        <w:szCs w:val="24"/>
                      </w:rPr>
                      <m:t>G</m:t>
                    </m:r>
                  </m:e>
                </m:bar>
              </m:e>
              <m:sub>
                <m:r>
                  <w:rPr>
                    <w:sz w:val="24"/>
                    <w:szCs w:val="24"/>
                  </w:rPr>
                  <m:t>i</m:t>
                </m:r>
              </m:sub>
            </m:sSub>
          </m:e>
        </m:nary>
        <m:r>
          <w:rPr>
            <w:sz w:val="24"/>
            <w:szCs w:val="24"/>
          </w:rPr>
          <m:t> </m:t>
        </m:r>
        <m:r>
          <w:rPr>
            <w:sz w:val="24"/>
            <w:szCs w:val="24"/>
          </w:rPr>
          <m:t>Δ</m:t>
        </m:r>
        <m:sSub>
          <m:e>
            <m:r>
              <w:rPr>
                <w:sz w:val="24"/>
                <w:szCs w:val="24"/>
              </w:rPr>
              <m:t>t</m:t>
            </m:r>
          </m:e>
          <m:sub>
            <m:r>
              <w:rPr>
                <w:sz w:val="24"/>
                <w:szCs w:val="24"/>
              </w:rPr>
              <m:t>i</m:t>
            </m:r>
          </m:sub>
        </m:sSub>
        <m:r>
          <m:rPr>
            <m:sty m:val="p"/>
          </m:rPr>
          <w:rPr>
            <w:sz w:val="24"/>
            <w:szCs w:val="24"/>
          </w:rPr>
          <m:t>,</m:t>
        </m:r>
      </m:oMath>
      <w:r>
        <w:rPr>
          <w:rFonts w:ascii="Times New Roman" w:hAnsi="Times New Roman"/>
          <w:sz w:val="24"/>
        </w:rPr>
        <w:tab/>
        <w:t>(</w:t>
      </w:r>
      <w:bookmarkStart w:id="702" w:name="Equacao_soma"/>
      <w:fldSimple w:instr=" SEQ Equacao \* ARABIC ">
        <w:r>
          <w:rPr>
            <w:sz w:val="24"/>
          </w:rPr>
          <w:t>2</w:t>
        </w:r>
      </w:fldSimple>
      <w:bookmarkEnd w:id="702"/>
      <w:r>
        <w:rPr>
          <w:rFonts w:ascii="Times New Roman" w:hAnsi="Times New Roman"/>
          <w:sz w:val="24"/>
        </w:rPr>
        <w:t>)</w:t>
      </w:r>
    </w:p>
    <w:p>
      <w:pPr>
        <w:pStyle w:val="BodyText"/>
        <w:widowControl/>
        <w:spacing w:line="360" w:lineRule="auto" w:after="120"/>
        <w:ind w:firstLine="709"/>
        <w:jc w:val="both"/>
      </w:pPr>
      <w:r>
        <w:rPr>
          <w:rFonts w:ascii="Times New Roman" w:hAnsi="Times New Roman"/>
          <w:i w:val="0"/>
          <w:color w:val="000000"/>
          <w:sz w:val="24"/>
        </w:rPr>
        <w:t xml:space="preserve">em que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H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irradiação dos intervalos incluídos;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w:rPr>
                    <w:sz w:val="24"/>
                    <w:szCs w:val="24"/>
                  </w:rPr>
                  <m:t>G</m:t>
                </m:r>
              </m:e>
            </m:bar>
          </m:e>
          <m:sub>
            <m:r>
              <w:rPr>
                <w:sz w:val="24"/>
                <w:szCs w:val="24"/>
              </w:rPr>
              <m:t>i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irradiância média do intervalo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i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, em W/m²;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Δ</m:t>
        </m:r>
        <m:sSub>
          <m:e>
            <m:r>
              <w:rPr>
                <w:sz w:val="24"/>
                <w:szCs w:val="24"/>
              </w:rPr>
              <m:t>t</m:t>
            </m:r>
          </m:e>
          <m:sub>
            <m:r>
              <w:rPr>
                <w:sz w:val="24"/>
                <w:szCs w:val="24"/>
              </w:rPr>
              <m:t>i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sua duração; 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m:rPr>
            <m:sty m:val="p"/>
            <m:scr m:val="script"/>
          </m:rPr>
          <w:rPr>
            <w:sz w:val="24"/>
            <w:szCs w:val="24"/>
          </w:rPr>
          <m:t>V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o conjunto de intervalos válidos sobre os quais se realiza a soma. O índice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i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identifica cada intervalo incluído. Se a duração é dada em horas, o resultado é Wh/m²; se é dada em segundos, é J/m². A soma não inclui a energia de intervalos ausentes.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forma discreta é aqui derivada da definição integral sob a hipótese de médias de intervalo. Essa soma representa a energia dos intervalos efetivamente incluídos; não reconstitui a energia dos intervalos ausentes. Se o registro for uma amostra instantânea, a integração por soma ou por outra quadratura constitui uma aproximação adicional. Portanto, a resolução nominal de um arquivo não informa, por si só, se seus valores são instantâneos, médios ou acumulados. A interpretação deve ser obtida nos metadados de aquisição e processamento (DUFFIE; BECKMAN; BLAIR, 2020, p. 10; SENGUPTA et al., 2024, cap. 6, p. 24–25).</w:t>
      </w:r>
    </w:p>
    <w:bookmarkEnd w:id="20"/>
    <w:bookmarkStart w:id="21" w:name="X3c2eacbc98ad1a80d4f07ee11382bfb7f38555b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1.2.2 COMPONENTES DIRETA, DIFUSA E GLOBAL HORIZONTAL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interação da radiação solar com a atmosfera produz um campo radiativo com contribuições direcionais distintas. A irradiância direta normal, DNI, é referida a uma superfície perpendicular à direção solar e à radiação proveniente de uma pequena região angular centrada no Sol. A irradiância difusa horizontal, DHI, é a contribuição do céu recebida por uma superfície horizontal, excluída a região angular atribuída à componente direta. A irradiância global horizontal, GHI, representa a irradiância solar descendente total de ondas curtas recebida no plano horizontal. As três grandezas são expressas em W/m²; suas diferenças decorrem da direção de recepção e do campo angular integrado, e não da unidade (SENGUPTA et al., 2024, cap. 2, p. 9–10).</w:t>
      </w:r>
    </w:p>
    <w:p>
      <w:pPr>
        <w:pStyle w:val="BodyText"/>
        <w:keepNext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Para o Sol acima do horizonte e para definições radiométricas compatíveis, o balanço geométrico ideal é expresso pela equação (3):</w:t>
      </w:r>
    </w:p>
    <w:p>
      <w:pPr>
        <w:keepNext/>
        <w:keepLines/>
        <w:widowControl/>
        <w:tabs>
          <w:tab w:pos="4535" w:val="center"/>
          <w:tab w:pos="9071" w:val="right"/>
        </w:tabs>
        <w:spacing w:before="160" w:after="160" w:line="276" w:lineRule="auto"/>
        <w:ind w:firstLine="0" w:left="0" w:right="0"/>
        <w:jc w:val="left"/>
      </w:pPr>
      <w:r>
        <w:rPr>
          <w:rFonts w:ascii="Times New Roman" w:hAnsi="Times New Roman"/>
          <w:sz w:val="24"/>
        </w:rPr>
        <w:tab/>
      </w:r>
      <m:oMath>
        <m:r>
          <m:rPr>
            <m:sty m:val="p"/>
          </m:rPr>
          <w:rPr>
            <w:sz w:val="24"/>
            <w:szCs w:val="24"/>
          </w:rPr>
          <m:t>G</m:t>
        </m:r>
        <m:r>
          <m:rPr>
            <m:sty m:val="p"/>
          </m:rPr>
          <w:rPr>
            <w:sz w:val="24"/>
            <w:szCs w:val="24"/>
          </w:rPr>
          <m:t>H</m:t>
        </m:r>
        <m:r>
          <m:rPr>
            <m:sty m:val="p"/>
          </m:rPr>
          <w:rPr>
            <w:sz w:val="24"/>
            <w:szCs w:val="24"/>
          </w:rPr>
          <m:t>I</m:t>
        </m:r>
        <m:r>
          <m:rPr>
            <m:sty m:val="p"/>
          </m:rPr>
          <w:rPr>
            <w:sz w:val="24"/>
            <w:szCs w:val="24"/>
          </w:rPr>
          <m:t>=</m:t>
        </m:r>
        <m:r>
          <m:rPr>
            <m:sty m:val="p"/>
          </m:rPr>
          <w:rPr>
            <w:sz w:val="24"/>
            <w:szCs w:val="24"/>
          </w:rPr>
          <m:t>D</m:t>
        </m:r>
        <m:r>
          <m:rPr>
            <m:sty m:val="p"/>
          </m:rPr>
          <w:rPr>
            <w:sz w:val="24"/>
            <w:szCs w:val="24"/>
          </w:rPr>
          <m:t>N</m:t>
        </m:r>
        <m:r>
          <m:rPr>
            <m:sty m:val="p"/>
          </m:rPr>
          <w:rPr>
            <w:sz w:val="24"/>
            <w:szCs w:val="24"/>
          </w:rPr>
          <m:t>I</m:t>
        </m:r>
        <m:r>
          <m:rPr>
            <m:sty m:val="p"/>
          </m:rPr>
          <w:rPr>
            <w:sz w:val="24"/>
            <w:szCs w:val="24"/>
          </w:rPr>
          <m:t>cos</m:t>
        </m:r>
        <m:sSub>
          <m:e>
            <m:r>
              <w:rPr>
                <w:sz w:val="24"/>
                <w:szCs w:val="24"/>
              </w:rPr>
              <m:t>θ</m:t>
            </m:r>
          </m:e>
          <m:sub>
            <m:r>
              <w:rPr>
                <w:sz w:val="24"/>
                <w:szCs w:val="24"/>
              </w:rPr>
              <m:t>z</m:t>
            </m:r>
          </m:sub>
        </m:sSub>
        <m:r>
          <m:rPr>
            <m:sty m:val="p"/>
          </m:rPr>
          <w:rPr>
            <w:sz w:val="24"/>
            <w:szCs w:val="24"/>
          </w:rPr>
          <m:t>+</m:t>
        </m:r>
        <m:r>
          <m:rPr>
            <m:sty m:val="p"/>
          </m:rPr>
          <w:rPr>
            <w:sz w:val="24"/>
            <w:szCs w:val="24"/>
          </w:rPr>
          <m:t>D</m:t>
        </m:r>
        <m:r>
          <m:rPr>
            <m:sty m:val="p"/>
          </m:rPr>
          <w:rPr>
            <w:sz w:val="24"/>
            <w:szCs w:val="24"/>
          </w:rPr>
          <m:t>H</m:t>
        </m:r>
        <m:r>
          <m:rPr>
            <m:sty m:val="p"/>
          </m:rPr>
          <w:rPr>
            <w:sz w:val="24"/>
            <w:szCs w:val="24"/>
          </w:rPr>
          <m:t>I</m:t>
        </m:r>
        <m:r>
          <m:rPr>
            <m:sty m:val="p"/>
          </m:rPr>
          <w:rPr>
            <w:sz w:val="24"/>
            <w:szCs w:val="24"/>
          </w:rPr>
          <m:t>.</m:t>
        </m:r>
      </m:oMath>
      <w:r>
        <w:rPr>
          <w:rFonts w:ascii="Times New Roman" w:hAnsi="Times New Roman"/>
          <w:sz w:val="24"/>
        </w:rPr>
        <w:tab/>
        <w:t>(</w:t>
      </w:r>
      <w:bookmarkStart w:id="703" w:name="Equacao_fechamento"/>
      <w:fldSimple w:instr=" SEQ Equacao \* ARABIC ">
        <w:r>
          <w:rPr>
            <w:sz w:val="24"/>
          </w:rPr>
          <w:t>3</w:t>
        </w:r>
      </w:fldSimple>
      <w:bookmarkEnd w:id="703"/>
      <w:r>
        <w:rPr>
          <w:rFonts w:ascii="Times New Roman" w:hAnsi="Times New Roman"/>
          <w:sz w:val="24"/>
        </w:rPr>
        <w:t>)</w:t>
      </w:r>
    </w:p>
    <w:p>
      <w:pPr>
        <w:pStyle w:val="BodyText"/>
        <w:widowControl/>
        <w:spacing w:line="360" w:lineRule="auto" w:after="120"/>
        <w:ind w:firstLine="709"/>
        <w:jc w:val="both"/>
      </w:pPr>
      <w:r>
        <w:rPr>
          <w:rFonts w:ascii="Times New Roman" w:hAnsi="Times New Roman"/>
          <w:i w:val="0"/>
          <w:color w:val="000000"/>
          <w:sz w:val="24"/>
        </w:rPr>
        <w:t xml:space="preserve">em que GHI é a irradiância global horizontal, DNI é a irradiância direta normal e DHI é a irradiância difusa horizontal, todas em W/m²;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θ</m:t>
            </m:r>
          </m:e>
          <m:sub>
            <m:r>
              <w:rPr>
                <w:sz w:val="24"/>
                <w:szCs w:val="24"/>
              </w:rPr>
              <m:t>z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o ângulo zenital; 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m:rPr>
            <m:sty m:val="p"/>
          </m:rPr>
          <w:rPr>
            <w:sz w:val="24"/>
            <w:szCs w:val="24"/>
          </w:rPr>
          <m:t>D</m:t>
        </m:r>
        <m:r>
          <m:rPr>
            <m:sty m:val="p"/>
          </m:rPr>
          <w:rPr>
            <w:sz w:val="24"/>
            <w:szCs w:val="24"/>
          </w:rPr>
          <m:t>N</m:t>
        </m:r>
        <m:r>
          <m:rPr>
            <m:sty m:val="p"/>
          </m:rPr>
          <w:rPr>
            <w:sz w:val="24"/>
            <w:szCs w:val="24"/>
          </w:rPr>
          <m:t>I</m:t>
        </m:r>
        <m:r>
          <m:rPr>
            <m:sty m:val="p"/>
          </m:rPr>
          <w:rPr>
            <w:sz w:val="24"/>
            <w:szCs w:val="24"/>
          </w:rPr>
          <m:t>cos</m:t>
        </m:r>
        <m:sSub>
          <m:e>
            <m:r>
              <w:rPr>
                <w:sz w:val="24"/>
                <w:szCs w:val="24"/>
              </w:rPr>
              <m:t>θ</m:t>
            </m:r>
          </m:e>
          <m:sub>
            <m:r>
              <w:rPr>
                <w:sz w:val="24"/>
                <w:szCs w:val="24"/>
              </w:rPr>
              <m:t>z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contribuição direta projetada na horizontal. A relação pressupõe o Sol acima do horizonte e definições compatíveis de banda espectral, campo angular, plano e suporte temporal.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equação deve utilizar um ângulo solar coerente com a aplicação, distinguindo a geometria da refração quando necessário. No fechamento de medidas reais, também importam o campo de visão do pireliômetro, o sombreamento aplicado ao sensor de DHI, a resposta angular dos sensores e sua sincronização. Por isso, um resíduo entre os termos medidos não pode ser atribuído automaticamente a uma falha atmosférica ou a um único instrumento (SENGUPTA et al., 2024, cap. 2, p. 10; cap. 3, p. 5–7).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equação de fechamento é uma restrição física útil, mas não transforma uma medição isolada de GHI em três observações independentes. A estimação de DNI e DHI a partir de GHI requer modelos de decomposição, cuja validade depende de condições e escalas temporais. Próximo ao horizonte, estimar DNI pela divisão da componente direta horizontal por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m:rPr>
            <m:sty m:val="p"/>
          </m:rPr>
          <w:rPr>
            <w:sz w:val="24"/>
            <w:szCs w:val="24"/>
          </w:rPr>
          <m:t>cos</m:t>
        </m:r>
        <m:sSub>
          <m:e>
            <m:r>
              <w:rPr>
                <w:sz w:val="24"/>
                <w:szCs w:val="24"/>
              </w:rPr>
              <m:t>θ</m:t>
            </m:r>
          </m:e>
          <m:sub>
            <m:r>
              <w:rPr>
                <w:sz w:val="24"/>
                <w:szCs w:val="24"/>
              </w:rPr>
              <m:t>z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amplifica a sensibilidade a pequenos erros, pois o denominador tende a zero. A caracterização das componentes deve, portanto, manter explícita a distinção entre valores medidos e estimados (SENGUPTA et al., 2024, cap. 2, p. 10–11).</w:t>
      </w:r>
    </w:p>
    <w:bookmarkEnd w:id="21"/>
    <w:bookmarkStart w:id="22" w:name="X4a72c6609e458fccae0c45f82fe0ee175885281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1.2.3 REFERÊNCIA EXTRATERRESTRE E IRRADIÂNCIA NO PLANO DO ARRANJO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irradiância extraterrestre normal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n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e sua projeção horizontal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h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, definidas em 1.1, constituem referências anteriores à interação com a atmosfera. A presença do mesmo plano horizontal em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h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e GHI não as torna equivalentes: a primeira representa a projeção extraterrestre, enquanto a segunda descreve o campo radiativo disponível na superfície. Também não se deve impor que toda observação de curta duração seja necessariamente inferior a essa projeção, pois a redistribuição por nuvens pode produzir episódios de intensificação local da irradiância global (DUFFIE; BECKMAN; BLAIR, 2020, p. 9–10; SENGUPTA et al., 2024, cap. 6, p. 2).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irradiância no plano do arranjo, POA, é referida à superfície dos módulos, que pode ser inclinada ou rastreada. Sua descrição separa a contribuição direta projetada nesse plano, a difusa proveniente do céu e a refletida pelo entorno. Essa separação conceitual identifica a natureza das parcelas sem impor um modelo de distribuição angular da radiação difusa. O cálculo de transposição e suas hipóteses pertencem à subseção 3.1; o albedo e a instalação são desenvolvidos nas subseções 2.2 e 2.4. A Seção 1 estabelece as grandezas necessárias a essas etapas, sem antecipar seus resultados (SENGUPTA et al., 2024, cap. 2, p. 1 e 9–11).</w:t>
      </w:r>
      <w:r>
        <w:t xml:space="preserve"> O Quadro 1 sintetiza essas grandezas e convenções.</w:t>
      </w:r>
    </w:p>
    <w:p>
      <w:pPr>
        <w:keepNext/>
        <w:widowControl/>
        <w:spacing w:line="240" w:lineRule="auto" w:after="80" w:before="160"/>
        <w:ind w:firstLine="0" w:left="227" w:right="227"/>
        <w:jc w:val="center"/>
      </w:pPr>
      <w:r>
        <w:rPr>
          <w:rFonts w:ascii="Times New Roman" w:hAnsi="Times New Roman"/>
          <w:b/>
          <w:i w:val="0"/>
          <w:color w:val="000000"/>
          <w:sz w:val="20"/>
        </w:rPr>
        <w:t>Quadro 1 – Grandezas radiométricas e planos de referência</w:t>
      </w:r>
    </w:p>
    <w:tbl>
      <w:tblPr>
        <w:tblStyle w:val="Table"/>
        <w:tblW w:type="dxa" w:w="8617"/>
        <w:tblLayout w:type="fixed"/>
        <w:tblLook w:firstRow="1" w:lastRow="0" w:firstColumn="0" w:lastColumn="0" w:noHBand="0" w:noVBand="0" w:val="0020"/>
        <w:jc w:val="center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531"/>
        <w:gridCol w:w="4535"/>
        <w:gridCol w:w="2551"/>
      </w:tblGrid>
      <w:tr>
        <w:trPr>
          <w:tblHeader w:val="true"/>
          <w:cantSplit/>
          <w:tblHeader/>
        </w:trPr>
        <w:tc>
          <w:tcPr>
            <w:tcW w:type="dxa" w:w="1531"/>
            <w:shd w:fill="F0F0F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 xml:space="preserve">Grandeza</w:t>
            </w:r>
          </w:p>
        </w:tc>
        <w:tc>
          <w:tcPr>
            <w:tcW w:type="dxa" w:w="4535"/>
            <w:shd w:fill="F0F0F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 xml:space="preserve">Definição e plano</w:t>
            </w:r>
          </w:p>
        </w:tc>
        <w:tc>
          <w:tcPr>
            <w:tcW w:type="dxa" w:w="2551"/>
            <w:shd w:fill="F0F0F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 xml:space="preserve">Unidade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w:rPr>
                      <w:sz w:val="24"/>
                      <w:szCs w:val="24"/>
                    </w:rPr>
                    <m:t>G</m:t>
                  </m:r>
                </m:e>
                <m:sub>
                  <m:r>
                    <w:rPr>
                      <w:sz w:val="24"/>
                      <w:szCs w:val="24"/>
                    </w:rPr>
                    <m:t>0</m:t>
                  </m:r>
                  <m:r>
                    <w:rPr>
                      <w:sz w:val="24"/>
                      <w:szCs w:val="24"/>
                    </w:rPr>
                    <m:t>n</m:t>
                  </m:r>
                </m:sub>
              </m:sSub>
            </m:oMath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Irradiância extraterrestre normal ao feixe</w:t>
            </w:r>
          </w:p>
        </w:tc>
        <w:tc>
          <w:tcPr>
            <w:tcW w:type="dxa" w:w="25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W/m²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w:rPr>
                      <w:sz w:val="24"/>
                      <w:szCs w:val="24"/>
                    </w:rPr>
                    <m:t>G</m:t>
                  </m:r>
                </m:e>
                <m:sub>
                  <m:r>
                    <w:rPr>
                      <w:sz w:val="24"/>
                      <w:szCs w:val="24"/>
                    </w:rPr>
                    <m:t>0</m:t>
                  </m:r>
                  <m:r>
                    <w:rPr>
                      <w:sz w:val="24"/>
                      <w:szCs w:val="24"/>
                    </w:rPr>
                    <m:t>h</m:t>
                  </m:r>
                </m:sub>
              </m:sSub>
            </m:oMath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Projeção extraterrestre na horizontal</w:t>
            </w:r>
          </w:p>
        </w:tc>
        <w:tc>
          <w:tcPr>
            <w:tcW w:type="dxa" w:w="25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W/m²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DNI</w:t>
            </w:r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Componente direta referida à normal solar</w:t>
            </w:r>
          </w:p>
        </w:tc>
        <w:tc>
          <w:tcPr>
            <w:tcW w:type="dxa" w:w="25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W/m²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DHI</w:t>
            </w:r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Componente difusa recebida na horizontal</w:t>
            </w:r>
          </w:p>
        </w:tc>
        <w:tc>
          <w:tcPr>
            <w:tcW w:type="dxa" w:w="25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W/m²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GHI</w:t>
            </w:r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Irradiância global recebida na horizontal</w:t>
            </w:r>
          </w:p>
        </w:tc>
        <w:tc>
          <w:tcPr>
            <w:tcW w:type="dxa" w:w="25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W/m²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POA</w:t>
            </w:r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Irradiância recebida no plano do arranjo</w:t>
            </w:r>
          </w:p>
        </w:tc>
        <w:tc>
          <w:tcPr>
            <w:tcW w:type="dxa" w:w="25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W/m²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m:oMath>
              <m:r>
                <w:rPr>
                  <w:sz w:val="24"/>
                  <w:szCs w:val="24"/>
                </w:rPr>
                <m:t>H</m:t>
              </m:r>
            </m:oMath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Irradiação no plano e intervalo declarados</w:t>
            </w:r>
          </w:p>
        </w:tc>
        <w:tc>
          <w:tcPr>
            <w:tcW w:type="dxa" w:w="25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J/m², Wh/m² ou kWh/m²</w:t>
            </w:r>
          </w:p>
        </w:tc>
      </w:tr>
    </w:tbl>
    <w:p>
      <w:pPr>
        <w:pStyle w:val="FirstParagraph"/>
        <w:keepNext w:val="0"/>
        <w:widowControl/>
        <w:spacing w:line="240" w:lineRule="auto" w:after="160" w:before="60"/>
        <w:ind w:firstLine="0" w:left="227" w:right="227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Fonte: elaborado pelo autor, com base em Duffie, Beckman e Blair (2020) e Sengupta et al. (2024).</w:t>
      </w:r>
    </w:p>
    <w:bookmarkEnd w:id="22"/>
    <w:bookmarkStart w:id="23" w:name="aplicação-ao-pvdaq-2107-e-continuidade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1.2.4 APLICAÇÃO AO PVDAQ 2107 E CONTINUIDADE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No conjunto utilizado pelo capítulo, a POA observada constitui a entrada radiométrica local da cadeia principal. O arquivo preparado preserva o início de cada intervalo em UTC e um indicador da presença das três amostras previstas na agregação de 15 minutos. A posição solar é calculada no ponto médio, enquanto a POA conserva a natureza de média do intervalo. A Figura G01, discutida em 1.1, apresenta essas informações com suas diferentes origens explicitadas. Esse procedimento permite relacionar geometria e observação sem transformar o sensor POA em um sensor horizontal.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As componentes GHI, DNI e DHI eventualmente reconstruídas a partir da POA permanecem estimativas dependentes de modelos e hipóteses. A reprodução da POA de entrada por uma transposição inversa seguida da transposição direta não constitui validação independente dessas componentes. Essa conclusão resulta da dependência entre entradas e saídas do procedimento, e não de uma comparação realizada com sensores locais adicionais. Driesse, Jensen e Perez (2024, p. 9–11) distinguem a avaliação do algoritmo inverso com alvos de irradiância inclinada modelados da avaliação com medições reais; também discutem soluções matemáticas múltiplas. A verificação das componentes do PVDAQ exigiria referências observacionais ou estimativas externas com incerteza e independência documentadas.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distinção entre potência radiativa, energia integrada e planos de recepção prepara a análise da modulação atmosférica em 1.3. Ela também define o requisito de comparabilidade para 1.4: duas séries somente podem ser confrontadas após compatibilizar a grandeza, o plano, o tempo de integração e o domínio de observação.</w:t>
      </w:r>
    </w:p>
    <w:bookmarkEnd w:id="23"/>
    <w:bookmarkEnd w:id="24"/>
    <w:bookmarkStart w:id="25" w:name="referências"/>
    <w:p>
      <w:pPr>
        <w:pStyle w:val="Heading1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REFERÊNCIAS</w:t>
      </w:r>
    </w:p>
    <w:p>
      <w:pPr>
        <w:pStyle w:val="FirstParagraph"/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i w:val="0"/>
          <w:color w:val="000000"/>
          <w:sz w:val="24"/>
        </w:rPr>
        <w:t xml:space="preserve">DRIESSE, Anton; JENSEN, Adam R.; PEREZ, Richard. A continuous form of the Perez diffuse sky model for forward and reverse transposition.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bCs/>
          <w:rFonts w:ascii="Times New Roman" w:hAnsi="Times New Roman"/>
          <w:b/>
          <w:i w:val="0"/>
          <w:color w:val="000000"/>
          <w:sz w:val="24"/>
        </w:rPr>
        <w:t xml:space="preserve">Solar Energy</w:t>
      </w:r>
      <w:r>
        <w:rPr>
          <w:rFonts w:ascii="Times New Roman" w:hAnsi="Times New Roman"/>
          <w:i w:val="0"/>
          <w:color w:val="000000"/>
          <w:sz w:val="24"/>
        </w:rPr>
        <w:t xml:space="preserve">, v. 267, art. 112093, 2024. DOI: https://doi.org/10.1016/j.solener.2023.112093.</w:t>
      </w:r>
    </w:p>
    <w:p>
      <w:pPr>
        <w:pStyle w:val="BodyText"/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i w:val="0"/>
          <w:color w:val="000000"/>
          <w:sz w:val="24"/>
        </w:rPr>
        <w:t xml:space="preserve">DUFFIE, John A.; BECKMAN, William A.; BLAIR, Nathan.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bCs/>
          <w:rFonts w:ascii="Times New Roman" w:hAnsi="Times New Roman"/>
          <w:b/>
          <w:i w:val="0"/>
          <w:color w:val="000000"/>
          <w:sz w:val="24"/>
        </w:rPr>
        <w:t xml:space="preserve">Solar engineering of thermal processes, photovoltaics and wind</w:t>
      </w:r>
      <w:r>
        <w:rPr>
          <w:rFonts w:ascii="Times New Roman" w:hAnsi="Times New Roman"/>
          <w:i w:val="0"/>
          <w:color w:val="000000"/>
          <w:sz w:val="24"/>
        </w:rPr>
        <w:t xml:space="preserve">. 5. ed. Hoboken: Wiley, 2020. ISBN 9781119540311. DOI: https://doi.org/10.1002/9781119540328.</w:t>
      </w:r>
    </w:p>
    <w:p>
      <w:pPr>
        <w:pStyle w:val="BodyText"/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i w:val="0"/>
          <w:color w:val="000000"/>
          <w:sz w:val="24"/>
        </w:rPr>
        <w:t xml:space="preserve">SENGUPTA, Manajit et al. (ed.).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bCs/>
          <w:rFonts w:ascii="Times New Roman" w:hAnsi="Times New Roman"/>
          <w:b/>
          <w:i w:val="0"/>
          <w:color w:val="000000"/>
          <w:sz w:val="24"/>
        </w:rPr>
        <w:t xml:space="preserve">Best practices handbook for the collection and use of solar resource data for solar energy applications</w:t>
      </w:r>
      <w:r>
        <w:rPr>
          <w:rFonts w:ascii="Times New Roman" w:hAnsi="Times New Roman"/>
          <w:i w:val="0"/>
          <w:color w:val="000000"/>
          <w:sz w:val="24"/>
        </w:rPr>
        <w:t xml:space="preserve">. 4. ed. Golden: National Renewable Energy Laboratory, 2024. Relatório NREL/TP-5D00-88300. DOI: https://doi.org/10.2172/2448063. Disponível em: https://docs.nrel.gov/docs/fy24osti/88300.pdf. Acesso em: 27 out. 2026.</w:t>
      </w:r>
    </w:p>
    <w:p>
      <w:pPr>
        <w:pStyle w:val="BodyText"/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i w:val="0"/>
          <w:color w:val="000000"/>
          <w:sz w:val="24"/>
        </w:rPr>
        <w:t xml:space="preserve">TEIXEIRA, Samuel Constantino et al. </w:t>
      </w:r>
      <w:r>
        <w:rPr>
          <w:bCs/>
          <w:rFonts w:ascii="Times New Roman" w:hAnsi="Times New Roman"/>
          <w:b/>
          <w:i w:val="0"/>
          <w:color w:val="000000"/>
          <w:sz w:val="24"/>
        </w:rPr>
        <w:t xml:space="preserve">SPGER0046 Energias Renováveis: configuração e dados preparados do estudo PVDAQ 2107</w:t>
      </w:r>
      <w:r>
        <w:rPr>
          <w:rFonts w:ascii="Times New Roman" w:hAnsi="Times New Roman"/>
          <w:i w:val="0"/>
          <w:color w:val="000000"/>
          <w:sz w:val="24"/>
        </w:rPr>
        <w:t xml:space="preserve">. 2026. Repositório de trabalho. Dados utilizados: abril a junho de 2024. Disponível em: https://github.com/samuelasroma-byte/SPGER0046_Energias_Renovaveis. Acesso em: 27 out. 2026.</w:t>
      </w:r>
    </w:p>
    <w:bookmarkEnd w:id="25"/>
    <w:sectPr>
      <w:headerReference r:id="rId9" w:type="default"/>
      <w:pgSz w:h="16838" w:w="11906"/>
      <w:pgMar w:bottom="1134" w:header="1134" w:left="1701" w:right="1134" w:top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/>
        <w:sz w:val="20"/>
      </w:rPr>
    </w:r>
    <w:fldSimple w:instr="PAGE"/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  <w:doNotAutoCompressPicture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 w:line="360" w:lineRule="auto"/>
      <w:ind w:firstLine="709"/>
      <w:jc w:val="both"/>
    </w:pPr>
    <w:rPr>
      <w:rFonts w:ascii="Times New Roman" w:hAnsi="Times New Roman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40" w:before="180" w:line="360" w:lineRule="auto"/>
      <w:ind w:firstLine="709"/>
      <w:jc w:val="both"/>
    </w:pPr>
    <w:rPr>
      <w:rFonts w:ascii="Times New Roman" w:hAnsi="Times New Roman"/>
      <w:i w:val="0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40" w:line="360" w:lineRule="auto"/>
      <w:ind w:firstLine="709"/>
      <w:jc w:val="both"/>
    </w:pPr>
    <w:rPr>
      <w:rFonts w:ascii="Times New Roman" w:hAnsi="Times New Roman"/>
      <w:i w:val="0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160" w:before="240"/>
      <w:ind w:firstLine="0"/>
      <w:jc w:val="center"/>
    </w:pPr>
    <w:rPr>
      <w:rFonts w:ascii="Times New Roman" w:asciiTheme="majorHAnsi" w:cstheme="majorBidi" w:eastAsiaTheme="majorEastAsia" w:hAnsi="Times New Roman" w:hAnsiTheme="majorHAnsi"/>
      <w:b/>
      <w:bCs/>
      <w:i w:val="0"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Heading1" w:type="paragraph">
    <w:name w:val="heading 1"/>
    <w:pPr>
      <w:keepNext/>
      <w:spacing w:after="160" w:before="240"/>
      <w:ind w:firstLine="0"/>
    </w:pPr>
    <w:rPr>
      <w:rFonts w:ascii="Times New Roman" w:hAnsi="Times New Roman"/>
      <w:b/>
      <w:i w:val="0"/>
      <w:color w:val="000000"/>
      <w:sz w:val="24"/>
    </w:rPr>
  </w:style>
  <w:style w:customStyle="1" w:styleId="Heading2" w:type="paragraph">
    <w:name w:val="heading 2"/>
    <w:pPr>
      <w:keepNext/>
      <w:spacing w:after="160" w:before="240"/>
      <w:ind w:firstLine="0"/>
    </w:pPr>
    <w:rPr>
      <w:rFonts w:ascii="Times New Roman" w:hAnsi="Times New Roman"/>
      <w:b/>
      <w:i w:val="0"/>
      <w:color w:val="000000"/>
      <w:sz w:val="24"/>
    </w:rPr>
  </w:style>
  <w:style w:customStyle="1" w:styleId="Heading3" w:type="paragraph">
    <w:name w:val="heading 3"/>
    <w:pPr>
      <w:keepNext/>
      <w:spacing w:after="160" w:before="240"/>
      <w:ind w:firstLine="0"/>
    </w:pPr>
    <w:rPr>
      <w:rFonts w:ascii="Times New Roman" w:hAnsi="Times New Roman"/>
      <w:b/>
      <w:i w:val="0"/>
      <w:color w:val="000000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2026-10-27T19:17:03Z</dcterms:created>
  <dcterms:modified xsi:type="dcterms:W3CDTF">2026-10-27T19:17:03Z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