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figura_vetorial1.svg" ContentType="image/svg+xml"/>
  <Override PartName="/word/media/figura_vetorial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14f1691e529393d52d263f4b0350ff5a193b03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 GEOMETRIA SOLAR E IRRADIÂNCIA EXTRATERRESTRE</w:t>
      </w:r>
    </w:p>
    <w:p>
      <w:pPr>
        <w:pStyle w:val="FirstParagraph"/>
        <w:widowControl/>
        <w:spacing w:line="360" w:lineRule="auto" w:after="120"/>
        <w:ind w:firstLine="0"/>
        <w:jc w:val="left"/>
      </w:pPr>
      <w:r>
        <w:rPr>
          <w:rFonts w:ascii="Times New Roman" w:hAnsi="Times New Roman"/>
          <w:i w:val="0"/>
          <w:color w:val="000000"/>
          <w:sz w:val="24"/>
        </w:rPr>
        <w:t>SPGER0046 — Energias Renováveis | PPGER/UFPB</w:t>
        <w:br/>
        <w:t>Capítulo: Recurso solar e modelagem da conversão fotovoltaica</w:t>
        <w:br/>
        <w:t>Samuel Constantino Teixeira</w:t>
        <w:br/>
        <w:t>Convenções: norte 0°, sentido horário; geometria no ponto médio de cada intervalo.</w:t>
      </w:r>
    </w:p>
    <w:bookmarkStart w:id="20" w:name="X53d79aed175e5e1eebb0072b027e4b86ca87bc1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1.1.1 PROBLEMA FÍSICO E FUNÇÃO DA GEOMETRIA SOLAR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caracterização do recurso solar exige distinguir a disponibilidade radiativa extraterrestre da irradiância efetivamente recebida por uma superfície terrestre. O movimento aparente do Sol define a direção instantânea de propagação da componente direta da radiação, enquanto a atmosfera e o entorno modificam o campo radiativo observado na superfície. Por essa razão, posição solar, irradiância extraterrestre e irradiância de superfície não são grandezas intercambiáveis. A geometria constitui uma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condição de contorno física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para a modelagem e a interpretação das observações, mas não determina, isoladamente, a irradiância medida. Essa distinção orienta a passagem da presente subseção para as componentes radiométricas (1.2) e para a modulação atmosférica (1.3) (DUFFIE; BECKMAN; BLAIR, 2020, p. 9–15).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localização geográfica e o instante de observação são fundamentais. Para um ponto de latitude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ϕ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, longitude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λ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tempo associado a uma escala definida, a direção solar aparente pode ser expressa por ângulos locais. Uma representação física coerente deve informar a convenção de azimute, o sistema de tempo e a posição do carimbo em relação ao intervalo da medição. Os algoritmos astronômicos, a exemplo do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Solar Position Algorithm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(SPA), formalizam essas transformações e permitem representar a posição do Sol por meio do ângulo zenital e do azimute (REDA; ANDREAS, 2004; 2008).</w:t>
      </w:r>
    </w:p>
    <w:bookmarkEnd w:id="20"/>
    <w:bookmarkStart w:id="24" w:name="ângulos-de-posição-solar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1.1.2 ÂNGULOS DE POSIÇÃO SOLAR</w:t>
      </w:r>
    </w:p>
    <w:p>
      <w:pPr>
        <w:pStyle w:val="FirstParagraph"/>
        <w:keepNext/>
        <w:widowControl/>
        <w:spacing w:line="360" w:lineRule="auto" w:after="120"/>
        <w:ind w:firstLine="709"/>
      </w:pPr>
      <w:r>
        <w:t>A relação geométrica esférica entre a posição do observador e a direção solar é apresentada na equação (1):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r>
          <m:rPr>
            <m:sty m:val="p"/>
          </m:rPr>
          <w:rPr>
            <w:sz w:val="24"/>
            <w:szCs w:val="24"/>
          </w:rPr>
          <m:t>sin</m:t>
        </m:r>
        <m:r>
          <w:rPr>
            <w:sz w:val="24"/>
            <w:szCs w:val="24"/>
          </w:rPr>
          <m:t>ϕ</m:t>
        </m:r>
        <m:r>
          <m:rPr>
            <m:sty m:val="p"/>
          </m:rPr>
          <w:rPr>
            <w:sz w:val="24"/>
            <w:szCs w:val="24"/>
          </w:rPr>
          <m:t>sin</m:t>
        </m:r>
        <m:r>
          <w:rPr>
            <w:sz w:val="24"/>
            <w:szCs w:val="24"/>
          </w:rPr>
          <m:t>δ</m:t>
        </m:r>
        <m:r>
          <m:rPr>
            <m:sty m:val="p"/>
          </m:rPr>
          <w:rPr>
            <w:sz w:val="24"/>
            <w:szCs w:val="24"/>
          </w:rPr>
          <m:t>+</m:t>
        </m:r>
        <m:r>
          <m:rPr>
            <m:sty m:val="p"/>
          </m:rPr>
          <w:rPr>
            <w:sz w:val="24"/>
            <w:szCs w:val="24"/>
          </w:rPr>
          <m:t>cos</m:t>
        </m:r>
        <m:r>
          <w:rPr>
            <w:sz w:val="24"/>
            <w:szCs w:val="24"/>
          </w:rPr>
          <m:t>ϕ</m:t>
        </m:r>
        <m:r>
          <m:rPr>
            <m:sty m:val="p"/>
          </m:rPr>
          <w:rPr>
            <w:sz w:val="24"/>
            <w:szCs w:val="24"/>
          </w:rPr>
          <m:t>cos</m:t>
        </m:r>
        <m:r>
          <w:rPr>
            <w:sz w:val="24"/>
            <w:szCs w:val="24"/>
          </w:rPr>
          <m:t>δ</m:t>
        </m:r>
        <m:r>
          <m:rPr>
            <m:sty m:val="p"/>
          </m:rPr>
          <w:rPr>
            <w:sz w:val="24"/>
            <w:szCs w:val="24"/>
          </w:rPr>
          <m:t>cos</m:t>
        </m:r>
        <m:r>
          <w:rPr>
            <w:sz w:val="24"/>
            <w:szCs w:val="24"/>
          </w:rPr>
          <m:t>ω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1" w:name="Equacao_zenital"/>
      <w:fldSimple w:instr=" SEQ Equacao \* ARABIC ">
        <w:r>
          <w:rPr>
            <w:sz w:val="24"/>
          </w:rPr>
          <w:t>1</w:t>
        </w:r>
      </w:fldSimple>
      <w:bookmarkEnd w:id="701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zenital geométrico, medido a partir da vertical local;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ϕ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latitude geográfica, positiva ao norte;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δ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declinação solar, relativa ao equador celeste;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ω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horário, nulo no meio-dia solar, negativo pela manhã e positivo à tarde. Os ângulos são apresentados em graus; nas funções trigonométricas do código, são convertidos para radianos.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elevação solar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α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corresponde ao ângulo entre a direção solar e o plano horizontal, de modo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α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p>
          <m:e>
            <m:r>
              <w:rPr>
                <w:sz w:val="24"/>
                <w:szCs w:val="24"/>
              </w:rPr>
              <m:t>90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  <m:r>
          <m:rPr>
            <m:sty m:val="p"/>
          </m:rPr>
          <w:rPr>
            <w:sz w:val="24"/>
            <w:szCs w:val="24"/>
          </w:rPr>
          <m:t>−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. Nessa formulação,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ω</m:t>
        </m:r>
        <m:r>
          <m:rPr>
            <m:sty m:val="p"/>
          </m:rPr>
          <w:rPr>
            <w:sz w:val="24"/>
            <w:szCs w:val="24"/>
          </w:rPr>
          <m:t>=</m:t>
        </m:r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no meio-dia solar e, na aproximação usual de tempo solar verdadeiro, sua taxa é aproximadamente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15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por hora, com valores negativos antes e positivos após o meio-dia solar. A declinação solar varia sazonalmente em função da posição orbital da Terra e da obliquidade do eixo terrestre (DUFFIE; BECKMAN; BLAIR, 2020, p. 13–15).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azimute solar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descreve a direção da projeção horizontal do vetor solar. Neste estudo, adota-se a convenção do norte geográfico como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sentido horário: leste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90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sul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180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oeste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270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compatível com a configuração do caso PVDAQ e com Reda e Andreas (2004). Quando o Sol está exatamente no zênite, a direção azimutal é matematicamente indefinida, porque sua projeção horizontal se anula. Portanto, a condição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não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implica azimute igual a zero.</w:t>
      </w:r>
    </w:p>
    <w:p>
      <w:pPr>
        <w:keepNext/>
        <w:widowControl/>
        <w:spacing w:line="360" w:lineRule="auto" w:after="120"/>
        <w:ind w:firstLine="709"/>
      </w:pPr>
      <w:r>
        <w:t>A conversão entre a convenção azimutal de Duffie, Beckman e Blair (2020, p. 13) e a convenção do SPA é dada pela equação (2):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A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sz w:val="24"/>
                    <w:szCs w:val="24"/>
                  </w:rPr>
                  <m:t>γ</m:t>
                </m:r>
              </m:e>
              <m:sub>
                <m:r>
                  <w:rPr>
                    <w:sz w:val="24"/>
                    <w:szCs w:val="24"/>
                  </w:rPr>
                  <m:t>s</m:t>
                </m:r>
              </m:sub>
            </m:sSub>
            <m:r>
              <m:rPr>
                <m:sty m:val="p"/>
              </m:rPr>
              <w:rPr>
                <w:sz w:val="24"/>
                <w:szCs w:val="24"/>
              </w:rPr>
              <m:t>+</m:t>
            </m:r>
            <m:sSup>
              <m:e>
                <m:r>
                  <w:rPr>
                    <w:sz w:val="24"/>
                    <w:szCs w:val="24"/>
                  </w:rPr>
                  <m:t>180</m:t>
                </m:r>
              </m:e>
              <m:sup>
                <m:r>
                  <m:rPr>
                    <m:sty m:val="p"/>
                  </m:rPr>
                  <w:rPr>
                    <w:sz w:val="24"/>
                    <w:szCs w:val="24"/>
                  </w:rPr>
                  <m:t>∘</m:t>
                </m:r>
              </m:sup>
            </m:sSup>
          </m:e>
        </m:d>
        <m:r>
          <w:rPr>
            <w:sz w:val="24"/>
            <w:szCs w:val="24"/>
          </w:rPr>
          <m:t> </m:t>
        </m:r>
        <m:r>
          <m:rPr>
            <m:sty m:val="p"/>
          </m:rPr>
          <w:rPr>
            <w:sz w:val="24"/>
            <w:szCs w:val="24"/>
          </w:rPr>
          <m:t>m</m:t>
        </m:r>
        <m:r>
          <m:rPr>
            <m:sty m:val="p"/>
          </m:rPr>
          <w:rPr>
            <w:sz w:val="24"/>
            <w:szCs w:val="24"/>
          </w:rPr>
          <m:t>o</m:t>
        </m:r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 </m:t>
        </m:r>
        <m:sSup>
          <m:e>
            <m:r>
              <w:rPr>
                <w:sz w:val="24"/>
                <w:szCs w:val="24"/>
              </w:rPr>
              <m:t>360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2" w:name="Equacao_azimute"/>
      <w:fldSimple w:instr=" SEQ Equacao \* ARABIC ">
        <w:r>
          <w:rPr>
            <w:sz w:val="24"/>
          </w:rPr>
          <w:t>2</w:t>
        </w:r>
      </w:fldSimple>
      <w:bookmarkEnd w:id="702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A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azimute solar contado do norte no sentido horário, no intervalo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  <m:r>
          <m:rPr>
            <m:sty m:val="p"/>
          </m:rPr>
          <w:rPr>
            <w:sz w:val="24"/>
            <w:szCs w:val="24"/>
          </w:rPr>
          <m:t>≤</m:t>
        </m:r>
        <m:sSub>
          <m:e>
            <m:r>
              <w:rPr>
                <w:sz w:val="24"/>
                <w:szCs w:val="24"/>
              </w:rPr>
              <m:t>A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  <m:r>
          <m:rPr>
            <m:sty m:val="p"/>
          </m:rPr>
          <w:rPr>
            <w:sz w:val="24"/>
            <w:szCs w:val="24"/>
          </w:rPr>
          <m:t>&lt;</m:t>
        </m:r>
        <m:sSup>
          <m:e>
            <m:r>
              <w:rPr>
                <w:sz w:val="24"/>
                <w:szCs w:val="24"/>
              </w:rPr>
              <m:t>360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γ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azimute contado do sul, negativo a leste e positivo a oeste, conforme a convenção do livro; e o operador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m</m:t>
        </m:r>
        <m:r>
          <m:rPr>
            <m:sty m:val="p"/>
          </m:rPr>
          <w:rPr>
            <w:sz w:val="24"/>
            <w:szCs w:val="24"/>
          </w:rPr>
          <m:t>o</m:t>
        </m:r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 </m:t>
        </m:r>
        <m:sSup>
          <m:e>
            <m:r>
              <w:rPr>
                <w:sz w:val="24"/>
                <w:szCs w:val="24"/>
              </w:rPr>
              <m:t>360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reduz o resultado a esse intervalo. Ambos os ângulos são expressos em graus. A relação não define um azimute no zênite.</w:t>
      </w:r>
    </w:p>
    <w:p>
      <w:pPr>
        <w:keepNext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>A Figura 1 reúne o corte vertical e a vista em planta dessas convenções.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Figura 1 – Geometria solar local e convenção azimutal</w:t>
      </w:r>
    </w:p>
    <w:p>
      <w:pPr>
        <w:pStyle w:val="CaptionedFigure"/>
        <w:keepNext/>
        <w:widowControl/>
        <w:spacing w:line="240" w:lineRule="auto" w:after="0"/>
        <w:ind w:firstLine="0"/>
        <w:jc w:val="center"/>
      </w:pPr>
      <w:r>
        <w:drawing>
          <wp:inline>
            <wp:extent cx="5472000" cy="2901680"/>
            <wp:docPr id="25" name="Picture 25" descr="Figura 1 – Geometria solar local e convenção azimutal" title="Figura 1 – Geometria solar local e convenção azimu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scrito_Figura01_Geometria.png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ns0:svgBlip xmlns:ns0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0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elaborado pelo autor, com base em Duffie, Beckman e Blair (2020).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(1) fornece a relação geométrica fundamental; cálculos de alta precisão precisam de tratamentos adicionais, como efemérides, escala temporal, refração atmosférica e correções de coordenadas. Reda e Andreas (2004, p. 577–578) descrevem o SPA para estimar a posição solar com elevada precisão angular. A incerteza divulgada para o próprio algoritmo não deve ser confundida com a incerteza da irradiância ou a qualidade de um sensor terrestre.</w:t>
      </w:r>
    </w:p>
    <w:bookmarkEnd w:id="24"/>
    <w:bookmarkStart w:id="25" w:name="X87d7fd5ec4192080bad9a4568cd3aeae1bcce0f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1.1.3 IRRADIÂNCIA EXTRATERRESTRE E PROJEÇÃO HORIZONTAL</w:t>
      </w:r>
    </w:p>
    <w:p>
      <w:pPr>
        <w:pStyle w:val="FirstParagraph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extraterrestre normal, aqui denotada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[W </w:t>
      </w:r>
      <m:oMath>
        <m:sSup>
          <m:e>
            <m: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], representa o fluxo radiante por unidade de área perpendicular aos raios solares antes da interação atmosférica. Seu valor varia durante o ano devido à mudança da distância Terra–Sol. Essa dependência é representada pela equação (3):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sz w:val="24"/>
                            <w:szCs w:val="24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sz w:val="24"/>
                        <w:szCs w:val="24"/>
                      </w:rPr>
                      <m:t>r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sz w:val="24"/>
                            <w:szCs w:val="24"/>
                          </w:rPr>
                          <m:t>t</m:t>
                        </m:r>
                      </m:e>
                    </m:d>
                  </m:den>
                </m:f>
              </m:e>
            </m:d>
          </m:e>
          <m:sup>
            <m:r>
              <w:rPr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sz w:val="24"/>
            <w:szCs w:val="24"/>
          </w:rPr>
          <m:t>,</m:t>
        </m:r>
      </m:oMath>
      <w:r>
        <w:rPr>
          <w:rFonts w:ascii="Times New Roman" w:hAnsi="Times New Roman"/>
          <w:sz w:val="24"/>
        </w:rPr>
        <w:tab/>
        <w:t>(</w:t>
      </w:r>
      <w:bookmarkStart w:id="703" w:name="Equacao_orbital"/>
      <w:fldSimple w:instr=" SEQ Equacao \* ARABIC ">
        <w:r>
          <w:rPr>
            <w:sz w:val="24"/>
          </w:rPr>
          <w:t>3</w:t>
        </w:r>
      </w:fldSimple>
      <w:bookmarkEnd w:id="703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extraterrestre normal no instante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de referência na distância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r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, também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r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distância de referência Terra–Sol;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r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distância Terra–Sol no instante considerado. As duas distâncias devem ter a mesma unidade, de modo que sua razão e seu quadrado sejam adimensionais.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relação explicita a lei geométrica do inverso do quadrado, sem substituir o tratamento orbital usado pela implementação computacional. Diferentes referências históricas adotam constantes solares de valores próximos, mas não idênticos; aqui se fixa Gsc = 1366,1 W/m² para reproduzir a implementação do projeto (DUFFIE; BECKMAN; BLAIR, 2020, p. 9; PVLIB CONTRIBUTORS, 2026).</w:t>
      </w:r>
    </w:p>
    <w:p>
      <w:pPr>
        <w:keepNext/>
        <w:widowControl/>
        <w:spacing w:line="360" w:lineRule="auto" w:after="120"/>
        <w:ind w:firstLine="709"/>
      </w:pPr>
      <w:r>
        <w:t>O fator orbital da aproximação de Spencer implementada no pvlib 0.16.1 é expresso pela equação (4) (PVLIB CONTRIBUTORS, 2026):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eqArr>
          <m:e>
            <m:sSub>
              <m:e>
                <m:r>
                  <w:rPr>
                    <w:sz w:val="24"/>
                    <w:szCs w:val="24"/>
                  </w:rPr>
                  <m:t>E</m:t>
                </m:r>
              </m:e>
              <m:sub>
                <m:r>
                  <w:rPr>
                    <w:sz w:val="24"/>
                    <w:szCs w:val="24"/>
                  </w:rPr>
                  <m:t>0</m:t>
                </m:r>
              </m:sub>
            </m:sSub>
            <m:r>
              <m:rPr>
                <m:sty m:val="p"/>
              </m:rPr>
              <w:rPr>
                <w:sz w:val="24"/>
                <w:szCs w:val="24"/>
              </w:rPr>
              <m:t>=</m:t>
            </m:r>
            <m:r>
              <w:rPr>
                <w:sz w:val="24"/>
                <w:szCs w:val="24"/>
              </w:rPr>
              <m:t/>
            </m:r>
            <m:r>
              <w:rPr>
                <w:sz w:val="24"/>
                <w:szCs w:val="24"/>
              </w:rPr>
              <m:t>1.000110</m:t>
            </m:r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0.034221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r>
              <w:rPr>
                <w:sz w:val="24"/>
                <w:szCs w:val="24"/>
              </w:rPr>
              <m:t>B</m:t>
            </m:r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0.001280</m:t>
            </m:r>
            <m:r>
              <m:rPr>
                <m:sty m:val="p"/>
              </m:rPr>
              <w:rPr>
                <w:sz w:val="24"/>
                <w:szCs w:val="24"/>
              </w:rPr>
              <m:t>sin</m:t>
            </m:r>
            <m:r>
              <w:rPr>
                <w:sz w:val="24"/>
                <w:szCs w:val="24"/>
              </w:rPr>
              <m:t>B</m:t>
            </m:r>
          </m:e>
          <m:e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0.000719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sz w:val="24"/>
                    <w:szCs w:val="24"/>
                  </w:rPr>
                  <m:t>2</m:t>
                </m:r>
                <m:r>
                  <w:rPr>
                    <w:sz w:val="24"/>
                    <w:szCs w:val="24"/>
                  </w:rPr>
                  <m:t>B</m:t>
                </m:r>
              </m:e>
            </m:d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0.000077</m:t>
            </m:r>
            <m:r>
              <m:rPr>
                <m:sty m:val="p"/>
              </m:rPr>
              <w:rPr>
                <w:sz w:val="24"/>
                <w:szCs w:val="24"/>
              </w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sz w:val="24"/>
                    <w:szCs w:val="24"/>
                  </w:rPr>
                  <m:t>2</m:t>
                </m:r>
                <m:r>
                  <w:rPr>
                    <w:sz w:val="24"/>
                    <w:szCs w:val="24"/>
                  </w:rPr>
                  <m:t>B</m:t>
                </m:r>
              </m:e>
            </m:d>
            <m:r>
              <m:rPr>
                <m:sty m:val="p"/>
              </m:rPr>
              <w:rPr>
                <w:sz w:val="24"/>
                <w:szCs w:val="24"/>
              </w:rPr>
              <m:t>.</m:t>
            </m:r>
          </m:e>
        </m:eqArr>
      </m:oMath>
      <w:r>
        <w:rPr>
          <w:rFonts w:ascii="Times New Roman" w:hAnsi="Times New Roman"/>
          <w:sz w:val="24"/>
        </w:rPr>
        <w:tab/>
        <w:t>(</w:t>
      </w:r>
      <w:bookmarkStart w:id="704" w:name="Equacao_spencer"/>
      <w:fldSimple w:instr=" SEQ Equacao \* ARABIC ">
        <w:r>
          <w:rPr>
            <w:sz w:val="24"/>
          </w:rPr>
          <w:t>4</w:t>
        </w:r>
      </w:fldSimple>
      <w:bookmarkEnd w:id="704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E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fator orbital adimensional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B</m:t>
        </m:r>
        <m:r>
          <m:rPr>
            <m:sty m:val="p"/>
          </m:rPr>
          <w:rPr>
            <w:sz w:val="24"/>
            <w:szCs w:val="24"/>
          </w:rPr>
          <m:t>=</m:t>
        </m:r>
        <m:r>
          <w:rPr>
            <w:sz w:val="24"/>
            <w:szCs w:val="24"/>
          </w:rPr>
          <m:t>2</m:t>
        </m:r>
        <m:r>
          <w:rPr>
            <w:sz w:val="24"/>
            <w:szCs w:val="24"/>
          </w:rPr>
          <m:t>π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w:rPr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sz w:val="24"/>
            <w:szCs w:val="24"/>
          </w:rPr>
          <m:t>/</m:t>
        </m:r>
        <m:r>
          <w:rPr>
            <w:sz w:val="24"/>
            <w:szCs w:val="24"/>
          </w:rPr>
          <m:t>365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argumento angular em radianos, sendo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n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o número do dia no ano. Os coeficientes numéricos são adimensionais. A irradiância normal é calculada por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  <m:sSub>
          <m:e>
            <m:r>
              <w:rPr>
                <w:sz w:val="24"/>
                <w:szCs w:val="24"/>
              </w:rPr>
              <m:t>E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, com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r>
          <w:rPr>
            <w:sz w:val="24"/>
            <w:szCs w:val="24"/>
          </w:rPr>
          <m:t>1366</m:t>
        </m:r>
        <m:r>
          <m:rPr>
            <m:sty m:val="p"/>
          </m:rPr>
          <w:rPr>
            <w:sz w:val="24"/>
            <w:szCs w:val="24"/>
          </w:rPr>
          <m:t>,</m:t>
        </m:r>
        <m:r>
          <w:rPr>
            <w:sz w:val="24"/>
            <w:szCs w:val="24"/>
          </w:rPr>
          <m:t>1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W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. O denominador 365 é mantido em 2024 para reproduzir a implementação conferida do pvlib.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projeção da irradiância normal sobre um plano horizontal produz a irradiância extraterrestre horizontal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[W </w:t>
      </w:r>
      <m:oMath>
        <m:sSup>
          <m:e>
            <m: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] na equação (5):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r>
          <m:rPr>
            <m:sty m:val="p"/>
          </m:rPr>
          <w:rPr>
            <w:sz w:val="24"/>
            <w:szCs w:val="24"/>
          </w:rPr>
          <m:t>max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sz w:val="24"/>
                <w:szCs w:val="24"/>
              </w:rPr>
              <m:t>,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sSub>
              <m:e>
                <m:r>
                  <w:rPr>
                    <w:sz w:val="24"/>
                    <w:szCs w:val="24"/>
                  </w:rPr>
                  <m:t>θ</m:t>
                </m:r>
              </m:e>
              <m:sub>
                <m:r>
                  <w:rPr>
                    <w:sz w:val="24"/>
                    <w:szCs w:val="24"/>
                  </w:rPr>
                  <m:t>z</m:t>
                </m:r>
              </m:sub>
            </m:sSub>
          </m:e>
        </m:d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5" w:name="Equacao_projecao"/>
      <w:fldSimple w:instr=" SEQ Equacao \* ARABIC ">
        <w:r>
          <w:rPr>
            <w:sz w:val="24"/>
          </w:rPr>
          <w:t>5</w:t>
        </w:r>
      </w:fldSimple>
      <w:bookmarkEnd w:id="705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extraterrestre projetada na horizontal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extraterrestre normal, ambas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zenital geométrico;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max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sz w:val="24"/>
                <w:szCs w:val="24"/>
              </w:rPr>
              <m:t>,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sSub>
              <m:e>
                <m:r>
                  <w:rPr>
                    <w:sz w:val="24"/>
                    <w:szCs w:val="24"/>
                  </w:rPr>
                  <m:t>θ</m:t>
                </m:r>
              </m:e>
              <m:sub>
                <m:r>
                  <w:rPr>
                    <w:sz w:val="24"/>
                    <w:szCs w:val="24"/>
                  </w:rPr>
                  <m:t>z</m:t>
                </m:r>
              </m:sub>
            </m:sSub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seleciona o maior entre zero e o cosseno do zenital. Esse fator é adimensional e anula a projeção quando o centro do Sol está abaixo do horizonte geométrico.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Durante o dia, a equação se reduz 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. A dependência em cosseno é puramente geométrica: para o mesmo fluxo normal extraterrestre, a projeção na horizontal diminui à medida que o ângulo zenital aumenta. Isso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não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significa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seja a GHI observada, pois esta última sofre os efeitos de absorção, espalhamento, nuvens, aerossóis e das demais condições atmosféricas.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A projeção extraterrestre usa o horizonte geométrico e é anulada quando o centro solar fica abaixo dele. O critério aproximado de 90,833° utilizado pela NOAA para nascer e pôr do Sol inclui refração atmosférica e tamanho angular do disco solar; responde a outra definição de evento e não deve ser aplicado como substituição automática desse recorte (NOAA GLOBAL MONITORING LABORATORY, [s. d.], p. 2).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Uma consequência importante é a impossibilidade de inferir a irradiância real de superfície apenas com posição solar e uma irradiância extraterrestre calculada. A decomposição entre a contribuição direta projetada e a radiação difusa no plano horizontal exige grandezas e hipóteses adicionais que pertencem à subseção 1.2.</w:t>
      </w:r>
    </w:p>
    <w:bookmarkEnd w:id="25"/>
    <w:bookmarkStart w:id="26" w:name="massa-de-ar-e-caminho-óptico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1.1.4 MASSA DE AR E CAMINHO ÓPTICO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massa de ar relativa (</w:t>
      </w:r>
      <m:oMath>
        <m:r>
          <w:rPr>
            <w:sz w:val="24"/>
            <w:szCs w:val="24"/>
          </w:rPr>
          <m:t>A</m:t>
        </m:r>
        <m:r>
          <w:rPr>
            <w:sz w:val="24"/>
            <w:szCs w:val="24"/>
          </w:rPr>
          <m:t>M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) é um indicador do caminho óptico atravessado pela radiação direta em relação a uma direção vertical de referência. Em atmosfera plana e para ângulos zenitais moderados, uma aproximação geométrica é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A</m:t>
        </m:r>
        <m:r>
          <w:rPr>
            <w:sz w:val="24"/>
            <w:szCs w:val="24"/>
          </w:rPr>
          <m:t>M</m:t>
        </m:r>
        <m:r>
          <m:rPr>
            <m:sty m:val="p"/>
          </m:rPr>
          <w:rPr>
            <w:sz w:val="24"/>
            <w:szCs w:val="24"/>
          </w:rPr>
          <m:t>≈</m:t>
        </m:r>
        <m:r>
          <w:rPr>
            <w:sz w:val="24"/>
            <w:szCs w:val="24"/>
          </w:rPr>
          <m:t>1</m:t>
        </m:r>
        <m:r>
          <m:rPr>
            <m:sty m:val="p"/>
          </m:rPr>
          <w:rPr>
            <w:sz w:val="24"/>
            <w:szCs w:val="24"/>
          </w:rPr>
          <m:t>/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. Sua interpretação física é útil: próximo ao horizonte, o trajeto atmosférico é, em geral, mais extenso, o que amplia as oportunidades de absorção e espalhamento. Entretanto, a aproximação secante perde validade para grandes ângulos zenitais. Para aplicações quantitativas, deve-se empregar uma parametrização de massa de ar apropriada, distinguindo a massa de ar relativa da absoluta e informando eventuais correções de pressão (DUFFIE; BECKMAN; BLAIR, 2020, p. 9–10; SENGUPTA et al., 2024, cap. 2, p. 6–8).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A aproximação secante é utilizada como interpretação geométrica de atmosfera plana ao nível do mar, para zenitais aproximadamente até 70°, no tratamento de Duffie, Beckman e Blair (2020, p. 9–10). Não deve ser extrapolada ao horizonte. A massa de ar relativa e sua correção de pressão para massa de ar absoluta precisam ser distinguidas em aplicações quantitativas.</w:t>
      </w:r>
    </w:p>
    <w:bookmarkEnd w:id="26"/>
    <w:bookmarkStart w:id="30" w:name="articulação-com-o-caso-real-pvdaq-2107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1.1.5 ARTICULAÇÃO COM O CASO REAL PVDAQ 2107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 estudo coletivo adota o sistema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Farm Solar Array — PVDAQ 2107</w:t>
      </w:r>
      <w:r>
        <w:rPr>
          <w:rFonts w:ascii="Times New Roman" w:hAnsi="Times New Roman"/>
          <w:i w:val="0"/>
          <w:color w:val="000000"/>
          <w:sz w:val="24"/>
        </w:rPr>
        <w:t xml:space="preserve">, localizado em Arbuckle, Califórnia, nas coordenadas aproximadamente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38</m:t>
        </m:r>
        <m:r>
          <m:rPr>
            <m:sty m:val="p"/>
          </m:rPr>
          <w:rPr>
            <w:sz w:val="24"/>
            <w:szCs w:val="24"/>
          </w:rPr>
          <m:t>,</m:t>
        </m:r>
        <m:sSup>
          <m:e>
            <m:r>
              <w:rPr>
                <w:sz w:val="24"/>
                <w:szCs w:val="24"/>
              </w:rPr>
              <m:t>996306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N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122</m:t>
        </m:r>
        <m:r>
          <m:rPr>
            <m:sty m:val="p"/>
          </m:rPr>
          <w:rPr>
            <w:sz w:val="24"/>
            <w:szCs w:val="24"/>
          </w:rPr>
          <m:t>,</m:t>
        </m:r>
        <m:sSup>
          <m:e>
            <m:r>
              <w:rPr>
                <w:sz w:val="24"/>
                <w:szCs w:val="24"/>
              </w:rPr>
              <m:t>134111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O. A janela analisada é 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1º de abril a 30 de junho de 2024</w:t>
      </w:r>
      <w:r>
        <w:rPr>
          <w:rFonts w:ascii="Times New Roman" w:hAnsi="Times New Roman"/>
          <w:i w:val="0"/>
          <w:color w:val="000000"/>
          <w:sz w:val="24"/>
        </w:rPr>
        <w:t xml:space="preserve">, com 91 dias, no fuso local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America/Los_Angeles</w:t>
      </w:r>
      <w:r>
        <w:rPr>
          <w:rFonts w:ascii="Times New Roman" w:hAnsi="Times New Roman"/>
          <w:i w:val="0"/>
          <w:color w:val="000000"/>
          <w:sz w:val="24"/>
        </w:rPr>
        <w:t xml:space="preserve">. A configuração do projeto registra a posição do Sol pelo SPA, aplicada ao meio do intervalo temporal correspondente, e utiliza a irradiância medida no plano do arranjo (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plane of array</w:t>
      </w:r>
      <w:r>
        <w:rPr>
          <w:rFonts w:ascii="Times New Roman" w:hAnsi="Times New Roman"/>
          <w:i w:val="0"/>
          <w:color w:val="000000"/>
          <w:sz w:val="24"/>
        </w:rPr>
        <w:t xml:space="preserve">, POA). As curvas de geometria e irradiância abaixo ilustram o dia 17 de maio de 2024 no horário local, conforme a Figura 2.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Figura 2 – POA observada e ângulos solares no PVDAQ 2107</w:t>
      </w:r>
    </w:p>
    <w:p>
      <w:pPr>
        <w:pStyle w:val="CaptionedFigure"/>
        <w:keepNext/>
        <w:widowControl/>
        <w:spacing w:line="240" w:lineRule="auto" w:after="0"/>
        <w:ind w:firstLine="0"/>
        <w:jc w:val="center"/>
      </w:pPr>
      <w:r>
        <w:drawing>
          <wp:inline>
            <wp:extent cx="5472000" cy="3062800"/>
            <wp:docPr id="26" name="Picture 26" descr="Figura 2 – POA observada e ângulos solares no PVDAQ 2107" title="Figura 2 – POA observada e ângulos solares no PVDAQ 2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scrito_Figura02_PVDAQ.png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ns0:svgBlip xmlns:ns0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6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dados PVDAQ 2107 (Deline et al., 2021); elaboração do autor (2026).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O gráfico reúne naturezas distintas de informação. A POA provém da medição local agregada, enquanto zenital e incidência são calculados. Os dados integram o acervo PVDAQ (DELINE et al., 2021); o processamento e a seleção são documentados no projeto (TEIXEIRA et al., 2026). Para 17/05, há 96 posições temporais, 94 médias POA não ausentes e 68 intervalos com três amostras na agregação. A figura exibe 05 h a 21 h locais, sem interpolação. A proximidade temporal entre o máximo de POA e a maior altura solar não constitui validação independente do SPA, nem permite identificar isoladamente condições de nuvens, aerossóis ou vapor de água. Trata-se de um exemplo diário, e não de uma distribuição climatológica.</w:t>
      </w:r>
      <w:r>
        <w:t xml:space="preserve"> Na Figura 2, o zenital é geométrico e a incidência utiliza o zenital aparente, conforme a cadeia computacional vigente.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 sistema PVDAQ disponibiliza irradiância POA, mas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não disponibiliza, neste conjunto selecionado, séries locais medidas e independentes de GHI, DNI e DHI</w:t>
      </w:r>
      <w:r>
        <w:rPr>
          <w:rFonts w:ascii="Times New Roman" w:hAnsi="Times New Roman"/>
          <w:i w:val="0"/>
          <w:color w:val="000000"/>
          <w:sz w:val="24"/>
        </w:rPr>
        <w:t xml:space="preserve">. Essas componentes não devem ser apresentadas como medições observadas; eventuais reconstruções por transposição inversa constituem análises exploratórias, discutidas separadamente. A orientação fixa do arranjo é 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25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de inclinação e azimute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180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(norte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sentido horário), mas o detalhamento da montagem e a transposição para a POA pertencem às seções 2.4 e 3.1, respectivamente.</w:t>
      </w:r>
    </w:p>
    <w:bookmarkEnd w:id="30"/>
    <w:bookmarkStart w:id="32" w:name="síntese-e-limites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1.1.6 SÍNTESE E LIMITES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posição solar define a direção de incidência da componente direta e fornece o fator geométrico de projeção entre irradiância normal e horizontal. A irradiância extraterrestre estabelece uma referência física anterior à atenuação atmosférica. A passagem da geometria para o recurso disponível em superfície exige, entretanto, informação radiométrica adicional e descrição explícita de suas condições de observação. Assim, a subseção 1.1 estabelece os ângulos, o tempo e o referencial geométrico que serão empregados em 1.2 a 1.4 e compartilhados com o estudo fotovoltaico da equipe.</w:t>
      </w:r>
    </w:p>
    <w:bookmarkStart w:id="31" w:name="quadro-de-conceitos-e-convenções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1.1.7 RASTREABILIDADE DO PROCEDIMENTO COMPUTACIONAL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Os ângulos são calculados pelo SPA de Reda e Andreas (2004; 2008), enquanto a irradiância extraterrestre normal é calculada separadamente pelo método Spencer. A rotina utiliza pvlib 0.16.1. O exemplo publicado do SPA foi reproduzido com os parâmetros da Tabela A5.1 (REDA; ANDREAS, 2008, p. A-15–A-16), obtendo zenital aparente de 50,111622° e azimute de 194,340241°, compatíveis com os valores de referência arredondados. Essa conferência verifica a implementação numérica; não valida o sensor POA nem a precisão de todas as entradas do estudo de caso.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O caso PVDAQ 2107 utiliza 38,996306° N, 122,134111° O e altitude de 10 m na configuração do projeto. A janela compreende 01/04 a 30/06/2024, no fuso America/Los_Angeles. O rótulo temporal indica o início de intervalos de 15 minutos; o SPA é avaliado 7 min 30 s depois. Em 17/05/2024, o fuso corresponde a UTC−7. A pressão é estimada da altitude, enquanto temperatura de refração de 12 °C e diferença de escalas temporais ΔT = 67 s são padrões mantidos da implementação, sem tratá-los como medições locais ou como atualização específica de efemérides.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A conferência bibliográfica foi localizada por páginas, com distinção entre obras catalogadas e evidências efetivamente verificadas. O livro de Duffie, Beckman e Blair (2020, p. 9) apresenta 0,00719 no termo em cos(2B) de sua equação 1.4.1b. O código conferido do pvlib 0.16.1 utiliza 0,000719. Para reproduzir os cálculos do projeto, adota-se este último coeficiente, mantendo registrada a divergência entre as fontes; a comparação não constitui uma investigação de erratas do editor.</w:t>
      </w:r>
      <w:r>
        <w:t xml:space="preserve"> O Quadro 1 sintetiza essas grandezas e convenções.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Quadro 1 – Símbolos, grandezas e convenções adotadas</w:t>
      </w:r>
    </w:p>
    <w:tbl>
      <w:tblPr>
        <w:tblStyle w:val="Table"/>
        <w:tblW w:type="dxa" w:w="8617"/>
        <w:tblLayout w:type="fixed"/>
        <w:tblLook w:firstRow="1" w:lastRow="0" w:firstColumn="0" w:lastColumn="0" w:noHBand="0" w:noVBand="0" w:val="002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191"/>
        <w:gridCol w:w="4535"/>
        <w:gridCol w:w="2891"/>
      </w:tblGrid>
      <w:tr>
        <w:trPr>
          <w:tblHeader w:val="on"/>
          <w:cantSplit/>
          <w:tblHeader/>
        </w:trPr>
        <w:tc>
          <w:tcPr>
            <w:tcW w:type="dxa" w:w="119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Símbolo</w:t>
            </w:r>
          </w:p>
        </w:tc>
        <w:tc>
          <w:tcPr>
            <w:tcW w:type="dxa" w:w="4535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Grandeza</w:t>
            </w:r>
          </w:p>
        </w:tc>
        <w:tc>
          <w:tcPr>
            <w:tcW w:type="dxa" w:w="289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Unidade / convenção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ϕ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Latitude geográfica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 norte positivo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δ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Declinação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ω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Ângulo horário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 0° ao meio-dia solar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sz w:val="24"/>
                      <w:szCs w:val="24"/>
                    </w:rPr>
                    <m:t>z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Ângulo zenital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 0° no zênite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sz w:val="24"/>
                      <w:szCs w:val="24"/>
                    </w:rPr>
                    <m:t>s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Elevação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</w:t>
            </w:r>
            <m:oMath>
              <m:sSup>
                <m:e>
                  <m:r>
                    <w:rPr>
                      <w:sz w:val="24"/>
                      <w:szCs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sz w:val="24"/>
                      <w:szCs w:val="24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sSub>
                <m:e>
                  <m:r>
                    <w:rPr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sz w:val="24"/>
                      <w:szCs w:val="24"/>
                    </w:rPr>
                    <m:t>z</m:t>
                  </m:r>
                </m:sub>
              </m:sSub>
            </m:oMath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n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extraterrestre normal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h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extraterrestre horizontal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POA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no plano dos módulos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W/m²; observada no PVDAQ</w:t>
            </w:r>
          </w:p>
        </w:tc>
      </w:tr>
    </w:tbl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elaborado pelo autor, com base em Duffie, Beckman e Blair (2020).</w:t>
      </w:r>
    </w:p>
    <w:bookmarkEnd w:id="31"/>
    <w:bookmarkEnd w:id="32"/>
    <w:bookmarkStart w:id="33" w:name="referências-utilizadas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CRITÉRIOS DE VALIDADE E TRANSIÇÃO PARA 1.2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A irradiância extraterrestre horizontal G₀h [W m⁻²] é calculada pela projeção da irradiância normal G₀n [W m⁻²] no plano horizontal, para o Sol acima do horizonte. GHI [W m⁻²] é outra grandeza: a irradiância global horizontal na superfície, modificada por absorção, espalhamento e nuvens. POA [W m⁻²] representa um plano inclinado e, no PVDAQ 2107, é a medição que alimenta a cadeia principal. Essas distinções fundamentam a subseção 1.2 e evitam substituir observações por cálculos.</w:t>
      </w:r>
    </w:p>
    <w:p>
      <w:pPr>
        <w:pStyle w:val="Heading2"/>
        <w:keepNext/>
        <w:pageBreakBefore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REFERÊNCIAS UTILIZADAS</w:t>
      </w:r>
    </w:p>
    <w:bookmarkEnd w:id="33"/>
    <w:bookmarkEnd w:id="34"/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DELINE, Chris; PERRY, Kirsten; DECEGLIE, Michael; MULLER, Matthew; SEKULIC, William; JORDAN, Dirk. </w:t>
      </w:r>
      <w:r>
        <w:rPr>
          <w:rFonts w:ascii="Times New Roman" w:hAnsi="Times New Roman"/>
          <w:b/>
          <w:i w:val="0"/>
          <w:color w:val="000000"/>
          <w:sz w:val="24"/>
        </w:rPr>
        <w:t>Photovoltaic Data Acquisition (PVDAQ) Public Datasets</w:t>
      </w:r>
      <w:r>
        <w:rPr>
          <w:rFonts w:ascii="Times New Roman" w:hAnsi="Times New Roman"/>
          <w:b w:val="0"/>
          <w:i w:val="0"/>
          <w:color w:val="000000"/>
          <w:sz w:val="24"/>
        </w:rPr>
        <w:t>. United States, 21 dez. 2021. Conjunto de dados. DOI: https://doi.org/10.25984/1846021.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DUFFIE, John A.; BECKMAN, William A.; BLAIR, Nathan. </w:t>
      </w:r>
      <w:r>
        <w:rPr>
          <w:rFonts w:ascii="Times New Roman" w:hAnsi="Times New Roman"/>
          <w:b/>
          <w:i w:val="0"/>
          <w:color w:val="000000"/>
          <w:sz w:val="24"/>
        </w:rPr>
        <w:t>Solar engineering of thermal processes, photovoltaics and wind</w:t>
      </w:r>
      <w:r>
        <w:rPr>
          <w:rFonts w:ascii="Times New Roman" w:hAnsi="Times New Roman"/>
          <w:b w:val="0"/>
          <w:i w:val="0"/>
          <w:color w:val="000000"/>
          <w:sz w:val="24"/>
        </w:rPr>
        <w:t>. 5. ed. Hoboken: Wiley, 2020. ISBN 9781119540311. DOI: https://doi.org/10.1002/9781119540328.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NOAA GLOBAL MONITORING LABORATORY. </w:t>
      </w:r>
      <w:r>
        <w:rPr>
          <w:rFonts w:ascii="Times New Roman" w:hAnsi="Times New Roman"/>
          <w:b/>
          <w:i w:val="0"/>
          <w:color w:val="000000"/>
          <w:sz w:val="24"/>
        </w:rPr>
        <w:t>General solar position calculations</w:t>
      </w:r>
      <w:r>
        <w:rPr>
          <w:rFonts w:ascii="Times New Roman" w:hAnsi="Times New Roman"/>
          <w:b w:val="0"/>
          <w:i w:val="0"/>
          <w:color w:val="000000"/>
          <w:sz w:val="24"/>
        </w:rPr>
        <w:t>. [S. l.]: NOAA, [s. d.]. 2 p. Disponível em: https://gml.noaa.gov/grad/solcalc/solareqns.PDF. Acesso em: 27 out. 2026.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PVLIB CONTRIBUTORS. </w:t>
      </w:r>
      <w:r>
        <w:rPr>
          <w:rFonts w:ascii="Times New Roman" w:hAnsi="Times New Roman"/>
          <w:b/>
          <w:i w:val="0"/>
          <w:color w:val="000000"/>
          <w:sz w:val="24"/>
        </w:rPr>
        <w:t>pvlib python: get_extra_radiation e spa_python</w:t>
      </w:r>
      <w:r>
        <w:rPr>
          <w:rFonts w:ascii="Times New Roman" w:hAnsi="Times New Roman"/>
          <w:b w:val="0"/>
          <w:i w:val="0"/>
          <w:color w:val="000000"/>
          <w:sz w:val="24"/>
        </w:rPr>
        <w:t>. Versão 0.16.1. 2026. Disponível em: https://pvlib-python.readthedocs.io/en/v0.16.1/reference/generated/pvlib.irradiance.get_extra_radiation.html. Acesso em: 27 out. 2026.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REDA, Ibrahim; ANDREAS, Afshin. Solar position algorithm for solar radiation applications. </w:t>
      </w:r>
      <w:r>
        <w:rPr>
          <w:rFonts w:ascii="Times New Roman" w:hAnsi="Times New Roman"/>
          <w:b/>
          <w:i w:val="0"/>
          <w:color w:val="000000"/>
          <w:sz w:val="24"/>
        </w:rPr>
        <w:t>Solar Energy</w:t>
      </w:r>
      <w:r>
        <w:rPr>
          <w:rFonts w:ascii="Times New Roman" w:hAnsi="Times New Roman"/>
          <w:b w:val="0"/>
          <w:i w:val="0"/>
          <w:color w:val="000000"/>
          <w:sz w:val="24"/>
        </w:rPr>
        <w:t>, v. 76, n. 5, p. 577–589, 2004. DOI: https://doi.org/10.1016/j.solener.2003.12.003.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REDA, Ibrahim; ANDREAS, Afshin. </w:t>
      </w:r>
      <w:r>
        <w:rPr>
          <w:rFonts w:ascii="Times New Roman" w:hAnsi="Times New Roman"/>
          <w:b/>
          <w:i w:val="0"/>
          <w:color w:val="000000"/>
          <w:sz w:val="24"/>
        </w:rPr>
        <w:t>Solar position algorithm for solar radiation applications</w:t>
      </w:r>
      <w:r>
        <w:rPr>
          <w:rFonts w:ascii="Times New Roman" w:hAnsi="Times New Roman"/>
          <w:b w:val="0"/>
          <w:i w:val="0"/>
          <w:color w:val="000000"/>
          <w:sz w:val="24"/>
        </w:rPr>
        <w:t>. Revised January 2008. Golden: National Renewable Energy Laboratory, 2008. Relatório NREL/TP-560-34302. DOI: https://doi.org/10.2172/15003974.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SENGUPTA, Manajit et al. (ed.). </w:t>
      </w:r>
      <w:r>
        <w:rPr>
          <w:rFonts w:ascii="Times New Roman" w:hAnsi="Times New Roman"/>
          <w:b/>
          <w:i w:val="0"/>
          <w:color w:val="000000"/>
          <w:sz w:val="24"/>
        </w:rPr>
        <w:t>Best practices handbook for the collection and use of solar resource data for solar energy applications</w:t>
      </w:r>
      <w:r>
        <w:rPr>
          <w:rFonts w:ascii="Times New Roman" w:hAnsi="Times New Roman"/>
          <w:b w:val="0"/>
          <w:i w:val="0"/>
          <w:color w:val="000000"/>
          <w:sz w:val="24"/>
        </w:rPr>
        <w:t>. 4. ed. Golden: National Renewable Energy Laboratory, 2024. Relatório NREL/TP-5D00-88300. DOI: https://doi.org/10.2172/2448063. Disponível em: https://docs.nrel.gov/docs/fy24osti/88300.pdf. Acesso em: 27 out. 2026.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TEIXEIRA, Samuel Constantino et al. </w:t>
      </w:r>
      <w:r>
        <w:rPr>
          <w:rFonts w:ascii="Times New Roman" w:hAnsi="Times New Roman"/>
          <w:b/>
          <w:i w:val="0"/>
          <w:color w:val="000000"/>
          <w:sz w:val="24"/>
        </w:rPr>
        <w:t>SPGER0046 Energias Renováveis: configuração e dados preparados do estudo PVDAQ 2107</w:t>
      </w:r>
      <w:r>
        <w:rPr>
          <w:rFonts w:ascii="Times New Roman" w:hAnsi="Times New Roman"/>
          <w:b w:val="0"/>
          <w:i w:val="0"/>
          <w:color w:val="000000"/>
          <w:sz w:val="24"/>
        </w:rPr>
        <w:t>. 2026. Repositório de trabalho. Dados utilizados: abril a junho de 2024. Disponível em: https://github.com/samuelasroma-byte/SPGER0046_Energias_Renovaveis. Acesso em: 27 out. 2026.</w:t>
        <w:br/>
      </w:r>
    </w:p>
    <w:sectPr>
      <w:headerReference w:type="default" r:id="rId10"/>
      <w:pgSz w:h="16838" w:w="11906"/>
      <w:pgMar w:top="1701" w:left="1701" w:right="1134" w:bottom="1134" w:head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0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oNotAutoCompressPicture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40"/>
      <w:ind w:firstLine="709"/>
      <w:jc w:val="both"/>
    </w:pPr>
    <w:rPr>
      <w:rFonts w:ascii="Times New Roman" w:hAnsi="Times New Roman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40" w:before="18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40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Theme="majorHAnsi" w:cstheme="majorBidi" w:eastAsiaTheme="majorEastAsia" w:hAnsiTheme="majorHAnsi" w:ascii="Times New Roman" w:hAnsi="Times New Roman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4"/>
    </w:rPr>
  </w:style>
  <w:style w:type="paragraph" w:customStyle="1" w:styleId="Heading2">
    <w:name w:val="heading 2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4"/>
    </w:rPr>
  </w:style>
  <w:style w:type="paragraph" w:customStyle="1" w:styleId="Heading3">
    <w:name w:val="heading 3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0" Type="http://schemas.openxmlformats.org/officeDocument/2006/relationships/header" Target="header1.xml"/><Relationship Id="rId11" Type="http://schemas.openxmlformats.org/officeDocument/2006/relationships/image" Target="media/image2.png"/><Relationship Id="rId12" Type="http://schemas.openxmlformats.org/officeDocument/2006/relationships/image" Target="media/figura_vetorial1.svg"/><Relationship Id="rId13" Type="http://schemas.openxmlformats.org/officeDocument/2006/relationships/image" Target="media/image3.png"/><Relationship Id="rId14" Type="http://schemas.openxmlformats.org/officeDocument/2006/relationships/image" Target="media/figura_vetorial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2026-10-26T16:42:51Z</dcterms:created>
  <dcterms:modified xsi:type="dcterms:W3CDTF">2026-10-26T16:42:51Z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