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41be9165729c396207ed2594ece229ca47a3ad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 GRANDEZAS RADIOMÉTRICAS E COMPONENTES DA RADIAÇÃO</w:t>
      </w:r>
    </w:p>
    <w:bookmarkStart w:id="20" w:name="irradiância-e-irradiação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1.2.1 IRRADIÂNCIA E IRRADIAÇÃO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descrição do recurso solar exige identificar a grandeza física, o plano de referência e o intervalo temporal a que cada valor se refere. A irradiância corresponde à potência radiante incidente por unidade de área, expressa em watt por metro quadrado (W/m²). A irradiação representa a energia radiante recebida por unidade de área durante um intervalo definido, expressa no Sistema Internacional em joule por metro quadrado (J/m²). O uso de Wh/m² ou kWh/m² é conveniente em aplicações energéticas, desde que o intervalo de integração seja explicitado. Assim, irradiância e irradiação descrevem aspectos relacionados do recurso, mas não podem ser substituídas uma pela outra em equações ou eixos gráficos (DUFFIE; BECKMAN; BLAIR, 2020, p. 10).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t>A irradiação recebida no plano e intervalo considerados é obtida pela integração temporal da irradiância, conforme a equação (1):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H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24"/>
                    <w:szCs w:val="24"/>
                  </w:rPr>
                  <m:t>,</m:t>
                </m:r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sub>
        </m:sSub>
        <m:r>
          <m:rPr>
            <m:sty m:val="p"/>
          </m:rPr>
          <w:rPr>
            <w:sz w:val="24"/>
            <w:szCs w:val="24"/>
          </w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w:rPr>
                    <w:sz w:val="24"/>
                    <w:szCs w:val="24"/>
                  </w:rPr>
                  <m:t>t</m:t>
                </m:r>
              </m:e>
              <m:sub>
                <m:r>
                  <w:rPr>
                    <w:sz w:val="24"/>
                    <w:szCs w:val="24"/>
                  </w:rPr>
                  <m:t>1</m:t>
                </m:r>
              </m:sub>
            </m:sSub>
          </m:sub>
          <m:sup>
            <m:sSub>
              <m:e>
                <m:r>
                  <w:rPr>
                    <w:sz w:val="24"/>
                    <w:szCs w:val="24"/>
                  </w:rPr>
                  <m:t>t</m:t>
                </m:r>
              </m:e>
              <m:sub>
                <m:r>
                  <w:rPr>
                    <w:sz w:val="24"/>
                    <w:szCs w:val="24"/>
                  </w:rPr>
                  <m:t>2</m:t>
                </m:r>
              </m:sub>
            </m:sSub>
          </m:sup>
          <m:e>
            <m:r>
              <w:rPr>
                <w:sz w:val="24"/>
                <w:szCs w:val="24"/>
              </w:rPr>
              <m:t>G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t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1" w:name="Equacao_integral"/>
      <w:fldSimple w:instr=" SEQ Equacao \* ARABIC ">
        <w:r>
          <w:rPr>
            <w:sz w:val="24"/>
          </w:rPr>
          <w:t>1</w:t>
        </w:r>
      </w:fldSimple>
      <w:bookmarkEnd w:id="701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H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24"/>
                    <w:szCs w:val="24"/>
                  </w:rPr>
                  <m:t>,</m:t>
                </m:r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irradiação acumulada no plano considerado entre os limites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1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2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G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nesse plano,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variável temporal;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elemento de tempo da integração. Com o tempo em segundos,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H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obtida em J/m²; com o tempo em horas, em Wh/m².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equivalência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1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3600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J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decorre da definição de watt e da conversão entre hora e segundo. Para registros que representam médias de intervalos, a forma discreta é expressa pela equação (2):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sz w:val="24"/>
                <w:szCs w:val="24"/>
              </w:rPr>
              <m:t>∈</m:t>
            </m:r>
            <m:r>
              <m:rPr>
                <m:sty m:val="p"/>
                <m:scr m:val="script"/>
              </m:rPr>
              <w:rPr>
                <w:sz w:val="24"/>
                <w:szCs w:val="24"/>
              </w:rPr>
              <m:t>V</m:t>
            </m:r>
          </m:sub>
          <m:sup>
            <m:r>
              <w:rPr>
                <w:sz w:val="24"/>
                <w:szCs w:val="24"/>
              </w:rPr>
              <m:t/>
            </m:r>
          </m:sup>
          <m:e>
            <m:sSub>
              <m:e>
                <m:bar>
                  <m:barPr>
                    <m:pos m:val="top"/>
                  </m:barPr>
                  <m:e>
                    <m:r>
                      <w:rPr>
                        <w:sz w:val="24"/>
                        <w:szCs w:val="24"/>
                      </w:rPr>
                      <m:t>G</m:t>
                    </m:r>
                  </m:e>
                </m:bar>
              </m:e>
              <m:sub>
                <m:r>
                  <w:rPr>
                    <w:sz w:val="24"/>
                    <w:szCs w:val="24"/>
                  </w:rPr>
                  <m:t>i</m:t>
                </m:r>
              </m:sub>
            </m:sSub>
          </m:e>
        </m:nary>
        <m:r>
          <w:rPr>
            <w:sz w:val="24"/>
            <w:szCs w:val="24"/>
          </w:rPr>
          <m:t> </m:t>
        </m:r>
        <m:r>
          <w:rPr>
            <w:sz w:val="24"/>
            <w:szCs w:val="24"/>
          </w:rPr>
          <m:t>Δ</m:t>
        </m:r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sz w:val="24"/>
            <w:szCs w:val="24"/>
          </w:rPr>
          <m:t>,</m:t>
        </m:r>
      </m:oMath>
      <w:r>
        <w:rPr>
          <w:rFonts w:ascii="Times New Roman" w:hAnsi="Times New Roman"/>
          <w:sz w:val="24"/>
        </w:rPr>
        <w:tab/>
        <w:t>(</w:t>
      </w:r>
      <w:bookmarkStart w:id="702" w:name="Equacao_soma"/>
      <w:fldSimple w:instr=" SEQ Equacao \* ARABIC ">
        <w:r>
          <w:rPr>
            <w:sz w:val="24"/>
          </w:rPr>
          <w:t>2</w:t>
        </w:r>
      </w:fldSimple>
      <w:bookmarkEnd w:id="702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H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irradiação dos intervalos incluídos;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w:rPr>
                    <w:sz w:val="24"/>
                    <w:szCs w:val="24"/>
                  </w:rPr>
                  <m:t>G</m:t>
                </m:r>
              </m:e>
            </m:bar>
          </m:e>
          <m:sub>
            <m:r>
              <w:rPr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média do intervalo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i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Δ</m:t>
        </m:r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sua duração;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  <m:scr m:val="script"/>
          </m:rPr>
          <w:rPr>
            <w:sz w:val="24"/>
            <w:szCs w:val="24"/>
          </w:rPr>
          <m:t>V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conjunto de intervalos válidos sobre os quais se realiza a soma. O índice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i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identifica cada intervalo incluído. Se a duração é dada em horas, o resultado é Wh/m²; se é dada em segundos, é J/m². A soma não inclui a energia de intervalos ausentes.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forma discreta é aqui derivada da definição integral sob a hipótese de médias de intervalo. Essa soma representa a energia dos intervalos efetivamente incluídos; não reconstitui a energia dos intervalos ausentes. Se o registro for uma amostra instantânea, a integração por soma ou por outra quadratura constitui uma aproximação adicional. Portanto, a resolução nominal de um arquivo não informa, por si só, se seus valores são instantâneos, médios ou acumulados. A interpretação deve ser obtida nos metadados de aquisição e processamento (DUFFIE; BECKMAN; BLAIR, 2020, p. 10; SENGUPTA et al., 2024, cap. 6, p. 24–25).</w:t>
      </w:r>
    </w:p>
    <w:bookmarkEnd w:id="20"/>
    <w:bookmarkStart w:id="21" w:name="X3c2eacbc98ad1a80d4f07ee11382bfb7f38555b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1.2.2 COMPONENTES DIRETA, DIFUSA E GLOBAL HORIZONTAL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interação da radiação solar com a atmosfera produz um campo radiativo com contribuições direcionais distintas. A irradiância direta normal, DNI, é referida a uma superfície perpendicular à direção solar e à radiação proveniente de uma pequena região angular centrada no Sol. A irradiância difusa horizontal, DHI, é a contribuição do céu recebida por uma superfície horizontal, excluída a região angular atribuída à componente direta. A irradiância global horizontal, GHI, representa a irradiância solar descendente total de ondas curtas recebida no plano horizontal. As três grandezas são expressas em W/m²; suas diferenças decorrem da direção de recepção e do campo angular integrado, e não da unidade (SENGUPTA et al., 2024, cap. 2, p. 9–10).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Para o Sol acima do horizonte e para definições radiométricas compatíveis, o balanço geométrico ideal é expresso pela equação (3):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m:rPr>
            <m:sty m:val="p"/>
          </m:rPr>
          <w:rPr>
            <w:sz w:val="24"/>
            <w:szCs w:val="24"/>
          </w:rPr>
          <m:t>G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=</m:t>
        </m:r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3" w:name="Equacao_fechamento"/>
      <w:fldSimple w:instr=" SEQ Equacao \* ARABIC ">
        <w:r>
          <w:rPr>
            <w:sz w:val="24"/>
          </w:rPr>
          <w:t>3</w:t>
        </w:r>
      </w:fldSimple>
      <w:bookmarkEnd w:id="703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 GHI é a irradiância global horizontal, DNI é a irradiância direta normal e DHI é a irradiância difusa horizontal, todas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contribuição direta projetada na horizontal. A relação pressupõe o Sol acima do horizonte e definições compatíveis de banda espectral, campo angular, plano e suporte temporal.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deve utilizar um ângulo solar coerente com a aplicação, distinguindo a geometria da refração quando necessário. No fechamento de medidas reais, também importam o campo de visão do pireliômetro, o sombreamento aplicado ao sensor de DHI, a resposta angular dos sensores e sua sincronização. Por isso, um resíduo entre os termos medidos não pode ser atribuído automaticamente a uma falha atmosférica ou a um único instrumento (SENGUPTA et al., 2024, cap. 2, p. 10; cap. 3, p. 5–7).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de fechamento é uma restrição física útil, mas não transforma uma medição isolada de GHI em três observações independentes. A estimação de DNI e DHI a partir de GHI requer modelos de decomposição, cuja validade depende de condições e escalas temporais. Próximo ao horizonte, estimar DNI pela divisão da componente direta horizontal por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amplifica a sensibilidade a pequenos erros, pois o denominador tende a zero. A caracterização das componentes deve, portanto, manter explícita a distinção entre valores medidos e estimados (SENGUPTA et al., 2024, cap. 2, p. 10–11).</w:t>
      </w:r>
    </w:p>
    <w:bookmarkEnd w:id="21"/>
    <w:bookmarkStart w:id="22" w:name="X4a72c6609e458fccae0c45f82fe0ee175885281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1.2.3 REFERÊNCIA EXTRATERRESTRE E IRRADIÂNCIA NO PLANO DO ARRANJO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extraterrestre normal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sua projeção horizontal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definidas em 1.1, constituem referências anteriores à interação com a atmosfera. A presença do mesmo plano horizontal em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GHI não as torna equivalentes: a primeira representa a projeção extraterrestre, enquanto a segunda descreve o campo radiativo disponível na superfície. Também não se deve impor que toda observação de curta duração seja necessariamente inferior a essa projeção, pois a redistribuição por nuvens pode produzir episódios de intensificação local da irradiância global (DUFFIE; BECKMAN; BLAIR, 2020, p. 9–10; SENGUPTA et al., 2024, cap. 6, p. 2).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no plano do arranjo, POA, é referida à superfície dos módulos, que pode ser inclinada ou rastreada. Sua descrição separa a contribuição direta projetada nesse plano, a difusa proveniente do céu e a refletida pelo entorno. Essa separação conceitual identifica a natureza das parcelas sem impor um modelo de distribuição angular da radiação difusa. O cálculo de transposição e suas hipóteses pertencem à subseção 3.1; o albedo e a instalação são desenvolvidos nas subseções 2.2 e 2.4. A Seção 1 estabelece as grandezas necessárias a essas etapas, sem antecipar seus resultados (SENGUPTA et al., 2024, cap. 2, p. 1 e 9–11).</w:t>
      </w:r>
      <w:r>
        <w:t xml:space="preserve"> O Quadro 1 sintetiza essas grandezas e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Quadro 1 – Grandezas radiométricas e planos de referência</w:t>
      </w:r>
    </w:p>
    <w:tbl>
      <w:tblPr>
        <w:tblStyle w:val="Table"/>
        <w:tblW w:type="dxa" w:w="8617"/>
        <w:tblLayout w:type="fixed"/>
        <w:tblLook w:firstRow="1" w:lastRow="0" w:firstColumn="0" w:lastColumn="0" w:noHBand="0" w:noVBand="0" w:val="002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531"/>
        <w:gridCol w:w="4535"/>
        <w:gridCol w:w="2551"/>
      </w:tblGrid>
      <w:tr>
        <w:trPr>
          <w:tblHeader w:val="true"/>
          <w:cantSplit/>
          <w:tblHeader/>
        </w:trPr>
        <w:tc>
          <w:tcPr>
            <w:tcW w:type="dxa" w:w="153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Grandeza</w:t>
            </w:r>
          </w:p>
        </w:tc>
        <w:tc>
          <w:tcPr>
            <w:tcW w:type="dxa" w:w="4535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Definição e plano</w:t>
            </w:r>
          </w:p>
        </w:tc>
        <w:tc>
          <w:tcPr>
            <w:tcW w:type="dxa" w:w="2551"/>
            <w:shd w:fill="F0F0F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Unidade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n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normal ao feixe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h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Projeção extraterrestre na horizontal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DNI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Componente direta referida à normal solar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DHI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Componente difusa recebida na horizontal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GHI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global recebida na horizontal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POA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recebida no plano do arranjo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H</m:t>
              </m:r>
            </m:oMath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Irradiação no plano e intervalo declarados</w:t>
            </w:r>
          </w:p>
        </w:tc>
        <w:tc>
          <w:tcPr>
            <w:tcW w:type="dxa" w:w="25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J/m², Wh/m² ou kWh/m²</w:t>
            </w:r>
          </w:p>
        </w:tc>
      </w:tr>
    </w:tbl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 e Sengupta et al. (2024).</w:t>
      </w:r>
    </w:p>
    <w:bookmarkEnd w:id="22"/>
    <w:bookmarkStart w:id="23" w:name="aplicação-ao-pvdaq-2107-e-continuidade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1.2.4 APLICAÇÃO AO PVDAQ 2107 E CONTINUIDADE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No conjunto utilizado pelo capítulo, a POA observada constitui a entrada radiométrica local da cadeia principal. O arquivo preparado preserva o início de cada intervalo em UTC e um indicador da presença das três amostras previstas na agregação de 15 minutos. A posição solar é calculada no ponto médio, enquanto a POA conserva a natureza de média do intervalo. A Figura G01, discutida em 1.1, apresenta essas informações com suas diferentes origens explicitadas. Esse procedimento permite relacionar geometria e observação sem transformar o sensor POA em um sensor horizontal.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As componentes GHI, DNI e DHI eventualmente reconstruídas a partir da POA permanecem estimativas dependentes de modelos e hipóteses. A reprodução da POA de entrada por uma transposição inversa seguida da transposição direta não constitui validação independente dessas componentes. Essa conclusão resulta da dependência entre entradas e saídas do procedimento, e não de uma comparação realizada com sensores locais adicionais. Driesse, Jensen e Perez (2024, p. 9–11) distinguem a avaliação do algoritmo inverso com alvos de irradiância inclinada modelados da avaliação com medições reais; também discutem soluções matemáticas múltiplas. A verificação das componentes do PVDAQ exigiria referências observacionais ou estimativas externas com incerteza e independência documentadas.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distinção entre potência radiativa, energia integrada e planos de recepção prepara a análise da modulação atmosférica em 1.3. Ela também define o requisito de comparabilidade para 1.4: duas séries somente podem ser confrontadas após compatibilizar a grandeza, o plano, o tempo de integração e o domínio de observação.</w:t>
      </w:r>
    </w:p>
    <w:bookmarkEnd w:id="23"/>
    <w:bookmarkEnd w:id="24"/>
    <w:bookmarkStart w:id="25" w:name="referências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REFERÊNCIAS</w:t>
      </w:r>
    </w:p>
    <w:p>
      <w:pPr>
        <w:pStyle w:val="FirstParagraph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DRIESSE, Anton; JENSEN, Adam R.; PEREZ, Richard. A continuous form of the Perez diffuse sky model for forward and reverse transposition.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Solar Energy</w:t>
      </w:r>
      <w:r>
        <w:rPr>
          <w:rFonts w:ascii="Times New Roman" w:hAnsi="Times New Roman"/>
          <w:i w:val="0"/>
          <w:color w:val="000000"/>
          <w:sz w:val="24"/>
        </w:rPr>
        <w:t xml:space="preserve">, v. 267, art. 112093, 2024. DOI: https://doi.org/10.1016/j.solener.2023.112093.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DUFFIE, John A.; BECKMAN, William A.; BLAIR, Nathan.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Solar engineering of thermal processes, photovoltaics and wind</w:t>
      </w:r>
      <w:r>
        <w:rPr>
          <w:rFonts w:ascii="Times New Roman" w:hAnsi="Times New Roman"/>
          <w:i w:val="0"/>
          <w:color w:val="000000"/>
          <w:sz w:val="24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SENGUPTA, Manajit et al. (ed.).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  <w:color w:val="000000"/>
          <w:sz w:val="24"/>
        </w:rPr>
        <w:t xml:space="preserve">. 4. ed. Golden: National Renewable Energy Laboratory, 2024. Relatório NREL/TP-5D00-88300. DOI: https://doi.org/10.2172/2448063. Disponível em: https://docs.nrel.gov/docs/fy24osti/88300.pdf. Acesso em: 27 out. 2026.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  <w:color w:val="000000"/>
          <w:sz w:val="24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5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0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  <w:doNotAutoCompressPicture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40" w:before="18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2026-10-27T19:17:03Z</dcterms:created>
  <dcterms:modified xsi:type="dcterms:W3CDTF">2026-10-27T19:17:03Z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