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535aea0c2649256f7e234e134706e317300fd0"/>
    <w:p>
      <w:pPr>
        <w:pStyle w:val="Heading1"/>
        <w:keepNext/>
        <w:widowControl/>
        <w:spacing w:line="360" w:lineRule="auto" w:after="120"/>
        <w:ind w:firstLine="0"/>
      </w:pPr>
      <w:r>
        <w:rPr>
          <w:rFonts w:ascii="Times New Roman" w:hAnsi="Times New Roman"/>
          <w:b/>
          <w:i w:val="0"/>
          <w:color w:val="000000"/>
          <w:sz w:val="24"/>
        </w:rPr>
        <w:t>1.3 MODULAÇÃO ATMOSFÉRICA E VARIABILIDADE ESPAÇO-TEMPORAL</w:t>
      </w:r>
    </w:p>
    <w:bookmarkStart w:id="20" w:name="interação-entre-a-radiação-e-a-atmosfera"/>
    <w:p>
      <w:pPr>
        <w:pStyle w:val="Heading2"/>
        <w:keepNext/>
        <w:widowControl/>
        <w:spacing w:line="360" w:lineRule="auto" w:after="120"/>
        <w:ind w:firstLine="0"/>
      </w:pPr>
      <w:r>
        <w:rPr>
          <w:rFonts w:ascii="Times New Roman" w:hAnsi="Times New Roman"/>
          <w:b/>
          <w:i w:val="0"/>
          <w:color w:val="000000"/>
          <w:sz w:val="24"/>
        </w:rPr>
        <w:t>1.3.1 INTERAÇÃO ENTRE A RADIAÇÃO E A ATMOSFERA</w:t>
      </w:r>
    </w:p>
    <w:p>
      <w:pPr>
        <w:pStyle w:val="FirstParagraph"/>
        <w:widowControl/>
        <w:spacing w:line="360" w:lineRule="auto" w:after="120"/>
        <w:ind w:firstLine="709"/>
      </w:pPr>
      <w:r>
        <w:rPr>
          <w:rFonts w:ascii="Times New Roman" w:hAnsi="Times New Roman"/>
          <w:i w:val="0"/>
          <w:color w:val="000000"/>
          <w:sz w:val="24"/>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et al., 2024, cap. 2, p. 6–7).</w:t>
      </w:r>
    </w:p>
    <w:p>
      <w:pPr>
        <w:pStyle w:val="BodyText"/>
        <w:widowControl/>
        <w:spacing w:line="360" w:lineRule="auto" w:after="120"/>
        <w:ind w:firstLine="709"/>
      </w:pPr>
      <w:r>
        <w:rPr>
          <w:rFonts w:ascii="Times New Roman" w:hAnsi="Times New Roman"/>
          <w:i w:val="0"/>
          <w:color w:val="000000"/>
          <w:sz w:val="24"/>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et al., 2024, cap. 2, p. 6–8).</w:t>
      </w:r>
    </w:p>
    <w:bookmarkEnd w:id="20"/>
    <w:bookmarkStart w:id="21" w:name="nuvens-e-redistribuição-da-irradiância"/>
    <w:p>
      <w:pPr>
        <w:pStyle w:val="Heading2"/>
        <w:keepNext/>
        <w:widowControl/>
        <w:spacing w:line="360" w:lineRule="auto" w:after="120"/>
        <w:ind w:firstLine="0"/>
      </w:pPr>
      <w:r>
        <w:rPr>
          <w:rFonts w:ascii="Times New Roman" w:hAnsi="Times New Roman"/>
          <w:b/>
          <w:i w:val="0"/>
          <w:color w:val="000000"/>
          <w:sz w:val="24"/>
        </w:rPr>
        <w:t>1.3.2 NUVENS E REDISTRIBUIÇÃO DA IRRADIÂNCIA</w:t>
      </w:r>
    </w:p>
    <w:p>
      <w:pPr>
        <w:pStyle w:val="FirstParagraph"/>
        <w:widowControl/>
        <w:spacing w:line="360" w:lineRule="auto" w:after="120"/>
        <w:ind w:firstLine="709"/>
      </w:pPr>
      <w:r>
        <w:rPr>
          <w:rFonts w:ascii="Times New Roman" w:hAnsi="Times New Roman"/>
          <w:i w:val="0"/>
          <w:color w:val="000000"/>
          <w:sz w:val="24"/>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et al., 2024, cap. 2, p. 7; cap. 6, p. 2).</w:t>
      </w:r>
    </w:p>
    <w:p>
      <w:pPr>
        <w:pStyle w:val="BodyText"/>
        <w:widowControl/>
        <w:spacing w:line="360" w:lineRule="auto" w:after="120"/>
        <w:ind w:firstLine="709"/>
      </w:pPr>
      <w:r>
        <w:rPr>
          <w:rFonts w:ascii="Times New Roman" w:hAnsi="Times New Roman"/>
          <w:i w:val="0"/>
          <w:color w:val="000000"/>
          <w:sz w:val="24"/>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et al., 2024, cap. 6, p. 2 e 24–25).</w:t>
      </w:r>
    </w:p>
    <w:bookmarkEnd w:id="21"/>
    <w:bookmarkStart w:id="22" w:name="aerossóis-e-vapor-de-água"/>
    <w:p>
      <w:pPr>
        <w:pStyle w:val="Heading2"/>
        <w:keepNext/>
        <w:widowControl/>
        <w:spacing w:line="360" w:lineRule="auto" w:after="120"/>
        <w:ind w:firstLine="0"/>
      </w:pPr>
      <w:r>
        <w:rPr>
          <w:rFonts w:ascii="Times New Roman" w:hAnsi="Times New Roman"/>
          <w:b/>
          <w:i w:val="0"/>
          <w:color w:val="000000"/>
          <w:sz w:val="24"/>
        </w:rPr>
        <w:t>1.3.3 AEROSSÓIS E VAPOR DE ÁGUA</w:t>
      </w:r>
    </w:p>
    <w:p>
      <w:pPr>
        <w:pStyle w:val="FirstParagraph"/>
        <w:widowControl/>
        <w:spacing w:line="360" w:lineRule="auto" w:after="120"/>
        <w:ind w:firstLine="709"/>
      </w:pPr>
      <w:r>
        <w:rPr>
          <w:rFonts w:ascii="Times New Roman" w:hAnsi="Times New Roman"/>
          <w:i w:val="0"/>
          <w:color w:val="000000"/>
          <w:sz w:val="24"/>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et al., 2024, cap. 5, p. 10; cap. 6, p. 17).</w:t>
      </w:r>
    </w:p>
    <w:p>
      <w:pPr>
        <w:pStyle w:val="BodyText"/>
        <w:widowControl/>
        <w:spacing w:line="360" w:lineRule="auto" w:after="120"/>
        <w:ind w:firstLine="709"/>
      </w:pPr>
      <w:r>
        <w:rPr>
          <w:rFonts w:ascii="Times New Roman" w:hAnsi="Times New Roman"/>
          <w:i w:val="0"/>
          <w:color w:val="000000"/>
          <w:sz w:val="24"/>
        </w:rPr>
        <w:t xml:space="preserve">O vapor de água participa da absorção espectral e é frequentemente descrito pela quantidade integrada na coluna atmosférica, denominada água precipitável ou vapor de água integrado. Dessa definição infere-se que 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et al., 2024, cap. 5, p. 10–11; cap. 7, p. 3).</w:t>
      </w:r>
    </w:p>
    <w:p>
      <w:pPr>
        <w:pStyle w:val="BodyText"/>
        <w:widowControl/>
        <w:spacing w:line="360" w:lineRule="auto" w:after="120"/>
        <w:ind w:firstLine="709"/>
      </w:pPr>
      <w:r>
        <w:rPr>
          <w:rFonts w:ascii="Times New Roman" w:hAnsi="Times New Roman"/>
          <w:i w:val="0"/>
          <w:color w:val="000000"/>
          <w:sz w:val="24"/>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22"/>
    <w:bookmarkStart w:id="23" w:name="escalas-temporais-e-espaciais"/>
    <w:p>
      <w:pPr>
        <w:pStyle w:val="Heading2"/>
        <w:keepNext/>
        <w:widowControl/>
        <w:spacing w:line="360" w:lineRule="auto" w:after="120"/>
        <w:ind w:firstLine="0"/>
      </w:pPr>
      <w:r>
        <w:rPr>
          <w:rFonts w:ascii="Times New Roman" w:hAnsi="Times New Roman"/>
          <w:b/>
          <w:i w:val="0"/>
          <w:color w:val="000000"/>
          <w:sz w:val="24"/>
        </w:rPr>
        <w:t>1.3.4 ESCALAS TEMPORAIS E ESPACIAIS</w:t>
      </w:r>
    </w:p>
    <w:p>
      <w:pPr>
        <w:pStyle w:val="FirstParagraph"/>
        <w:widowControl/>
        <w:spacing w:line="360" w:lineRule="auto" w:after="120"/>
        <w:ind w:firstLine="709"/>
      </w:pPr>
      <w:r>
        <w:rPr>
          <w:rFonts w:ascii="Times New Roman" w:hAnsi="Times New Roman"/>
          <w:i w:val="0"/>
          <w:color w:val="000000"/>
          <w:sz w:val="24"/>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et al., 2024, cap. 6, p. 1–2).</w:t>
      </w:r>
    </w:p>
    <w:p>
      <w:pPr>
        <w:pStyle w:val="BodyText"/>
        <w:widowControl/>
        <w:spacing w:line="360" w:lineRule="auto" w:after="120"/>
        <w:ind w:firstLine="709"/>
      </w:pPr>
      <w:r>
        <w:rPr>
          <w:rFonts w:ascii="Times New Roman" w:hAnsi="Times New Roman"/>
          <w:i w:val="0"/>
          <w:color w:val="000000"/>
          <w:sz w:val="24"/>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Dessa dependência infere-se que uma grade mais detalhada pode representar melhor algumas heterogeneidades, mas a redução do tamanho do pixel não assegura, por si só, menor erro na estimativa radiativa (SENGUPTA et al., 2024, cap. 6, p. 17).</w:t>
      </w:r>
    </w:p>
    <w:p>
      <w:pPr>
        <w:pStyle w:val="BodyText"/>
        <w:widowControl/>
        <w:spacing w:line="360" w:lineRule="auto" w:after="120"/>
        <w:ind w:firstLine="709"/>
      </w:pPr>
      <w:r>
        <w:rPr>
          <w:rFonts w:ascii="Times New Roman" w:hAnsi="Times New Roman"/>
          <w:i w:val="0"/>
          <w:color w:val="000000"/>
          <w:sz w:val="24"/>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et al., 2024, cap. 6, p. 24; cap. 8, p. 4).</w:t>
      </w:r>
    </w:p>
    <w:bookmarkEnd w:id="23"/>
    <w:bookmarkStart w:id="24" w:name="alcance-do-exemplo-pvdaq-2107"/>
    <w:p>
      <w:pPr>
        <w:pStyle w:val="Heading2"/>
        <w:keepNext/>
        <w:widowControl/>
        <w:spacing w:line="360" w:lineRule="auto" w:after="120"/>
        <w:ind w:firstLine="0"/>
      </w:pPr>
      <w:r>
        <w:rPr>
          <w:rFonts w:ascii="Times New Roman" w:hAnsi="Times New Roman"/>
          <w:b/>
          <w:i w:val="0"/>
          <w:color w:val="000000"/>
          <w:sz w:val="24"/>
        </w:rPr>
        <w:t>1.3.5 ALCANCE DO EXEMPLO PVDAQ 2107</w:t>
      </w:r>
    </w:p>
    <w:p>
      <w:pPr>
        <w:pStyle w:val="FirstParagraph"/>
        <w:widowControl/>
        <w:spacing w:line="360" w:lineRule="auto" w:after="120"/>
        <w:ind w:firstLine="709"/>
      </w:pPr>
      <w:r>
        <w:rPr>
          <w:rFonts w:ascii="Times New Roman" w:hAnsi="Times New Roman"/>
          <w:i w:val="0"/>
          <w:color w:val="000000"/>
          <w:sz w:val="24"/>
        </w:rPr>
        <w:t xml:space="preserve">A janela de abril a junho de 2024 do PVDAQ 2107 permite estudar a evolução observada da POA naquele sistema e período. A Figura G01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spacing w:line="360" w:lineRule="auto" w:after="120"/>
        <w:ind w:firstLine="709"/>
      </w:pPr>
      <w:r>
        <w:rPr>
          <w:rFonts w:ascii="Times New Roman" w:hAnsi="Times New Roman"/>
          <w:i w:val="0"/>
          <w:color w:val="000000"/>
          <w:sz w:val="24"/>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24"/>
    <w:bookmarkEnd w:id="25"/>
    <w:bookmarkStart w:id="26" w:name="referências"/>
    <w:p>
      <w:pPr>
        <w:pStyle w:val="Heading1"/>
        <w:keepNext/>
        <w:widowControl/>
        <w:spacing w:line="360" w:lineRule="auto" w:after="120"/>
        <w:ind w:firstLine="0"/>
      </w:pPr>
      <w:r>
        <w:rPr>
          <w:rFonts w:ascii="Times New Roman" w:hAnsi="Times New Roman"/>
          <w:b/>
          <w:i w:val="0"/>
          <w:color w:val="000000"/>
          <w:sz w:val="24"/>
        </w:rPr>
        <w:t>REFERÊNCIAS</w:t>
      </w:r>
    </w:p>
    <w:p>
      <w:pPr>
        <w:pStyle w:val="FirstParagraph"/>
        <w:widowControl/>
        <w:spacing w:line="240" w:lineRule="auto" w:after="120"/>
        <w:ind w:left="340" w:hanging="340"/>
        <w:jc w:val="left"/>
      </w:pPr>
      <w:r>
        <w:rPr>
          <w:rFonts w:ascii="Times New Roman" w:hAnsi="Times New Roman"/>
          <w:i w:val="0"/>
          <w:color w:val="000000"/>
          <w:sz w:val="24"/>
        </w:rPr>
        <w:t xml:space="preserve">DUFFIE, John A.; BECKMAN, William A.; BLAIR, Nathan.</w:t>
      </w:r>
      <w:r>
        <w:rPr>
          <w:rFonts w:ascii="Times New Roman" w:hAnsi="Times New Roman"/>
          <w:i w:val="0"/>
          <w:color w:val="000000"/>
          <w:sz w:val="24"/>
        </w:rPr>
        <w:t xml:space="preserve"> </w:t>
      </w:r>
      <w:r>
        <w:rPr>
          <w:bCs/>
          <w:rFonts w:ascii="Times New Roman" w:hAnsi="Times New Roman"/>
          <w:b/>
          <w:i w:val="0"/>
          <w:color w:val="000000"/>
          <w:sz w:val="24"/>
        </w:rPr>
        <w:t xml:space="preserve">Solar engineering of thermal processes, photovoltaics and wind</w:t>
      </w:r>
      <w:r>
        <w:rPr>
          <w:rFonts w:ascii="Times New Roman" w:hAnsi="Times New Roman"/>
          <w:i w:val="0"/>
          <w:color w:val="000000"/>
          <w:sz w:val="24"/>
        </w:rPr>
        <w:t xml:space="preserve">. 5. ed. Hoboken: Wiley, 2020. ISBN 9781119540311. DOI: https://doi.org/10.1002/9781119540328.</w:t>
      </w:r>
    </w:p>
    <w:p>
      <w:pPr>
        <w:pStyle w:val="BodyText"/>
        <w:widowControl/>
        <w:spacing w:line="240" w:lineRule="auto" w:after="120"/>
        <w:ind w:left="340" w:hanging="340"/>
        <w:jc w:val="left"/>
      </w:pPr>
      <w:r>
        <w:rPr>
          <w:rFonts w:ascii="Times New Roman" w:hAnsi="Times New Roman"/>
          <w:i w:val="0"/>
          <w:color w:val="000000"/>
          <w:sz w:val="24"/>
        </w:rPr>
        <w:t xml:space="preserve">SENGUPTA, Manajit et al. (ed.).</w:t>
      </w:r>
      <w:r>
        <w:rPr>
          <w:rFonts w:ascii="Times New Roman" w:hAnsi="Times New Roman"/>
          <w:i w:val="0"/>
          <w:color w:val="000000"/>
          <w:sz w:val="24"/>
        </w:rPr>
        <w:t xml:space="preserve"> </w:t>
      </w:r>
      <w:r>
        <w:rPr>
          <w:bCs/>
          <w:rFonts w:ascii="Times New Roman" w:hAnsi="Times New Roman"/>
          <w:b/>
          <w:i w:val="0"/>
          <w:color w:val="000000"/>
          <w:sz w:val="24"/>
        </w:rPr>
        <w:t xml:space="preserve">Best practices handbook for the collection and use of solar resource data for solar energy applications</w:t>
      </w:r>
      <w:r>
        <w:rPr>
          <w:rFonts w:ascii="Times New Roman" w:hAnsi="Times New Roman"/>
          <w:i w:val="0"/>
          <w:color w:val="000000"/>
          <w:sz w:val="24"/>
        </w:rPr>
        <w:t xml:space="preserve">. 4. ed. Golden: National Renewable Energy Laboratory, 2024. Relatório NREL/TP-5D00-88300. DOI: https://doi.org/10.2172/2448063. Disponível em: https://docs.nrel.gov/docs/fy24osti/88300.pdf.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TEIXEIRA, Samuel Constantino et al. </w:t>
      </w:r>
      <w:r>
        <w:rPr>
          <w:bCs/>
          <w:rFonts w:ascii="Times New Roman" w:hAnsi="Times New Roman"/>
          <w:b/>
          <w:i w:val="0"/>
          <w:color w:val="000000"/>
          <w:sz w:val="24"/>
        </w:rPr>
        <w:t xml:space="preserve">SPGER0046 Energias Renováveis: configuração e dados preparados do estudo PVDAQ 2107</w:t>
      </w:r>
      <w:r>
        <w:rPr>
          <w:rFonts w:ascii="Times New Roman" w:hAnsi="Times New Roman"/>
          <w:i w:val="0"/>
          <w:color w:val="000000"/>
          <w:sz w:val="24"/>
        </w:rPr>
        <w:t xml:space="preserve">. 2026. Repositório de trabalho. Dados utilizados: abril a junho de 2024. Disponível em: https://github.com/samuelasroma-byte/SPGER0046_Energias_Renovaveis. Acesso em: 27 out. 2026.</w:t>
      </w:r>
    </w:p>
    <w:bookmarkEnd w:id="26"/>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0"/>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60" w:lineRule="auto"/>
      <w:ind w:firstLine="709"/>
      <w:jc w:val="both"/>
    </w:pPr>
    <w:rPr>
      <w:rFonts w:ascii="Times New Roman" w:hAnsi="Times New Roman"/>
      <w:i w:val="0"/>
      <w:color w:val="000000"/>
      <w:sz w:val="24"/>
    </w:rPr>
  </w:style>
  <w:style w:styleId="BodyText" w:type="paragraph">
    <w:name w:val="Body Text"/>
    <w:basedOn w:val="Normal"/>
    <w:link w:val="BodyTextChar"/>
    <w:qFormat/>
    <w:pPr>
      <w:spacing w:after="140" w:before="180" w:line="360" w:lineRule="auto"/>
      <w:ind w:firstLine="709"/>
      <w:jc w:val="both"/>
    </w:pPr>
    <w:rPr>
      <w:rFonts w:ascii="Times New Roman" w:hAnsi="Times New Roman"/>
      <w:i w:val="0"/>
      <w:color w:val="000000"/>
      <w:sz w:val="24"/>
    </w:rPr>
  </w:style>
  <w:style w:customStyle="1" w:styleId="FirstParagraph" w:type="paragraph">
    <w:name w:val="First Paragraph"/>
    <w:basedOn w:val="BodyText"/>
    <w:next w:val="BodyText"/>
    <w:qFormat/>
    <w:pPr>
      <w:spacing w:after="140" w:line="360" w:lineRule="auto"/>
      <w:ind w:firstLine="709"/>
      <w:jc w:val="both"/>
    </w:pPr>
    <w:rPr>
      <w:rFonts w:ascii="Times New Roman" w:hAnsi="Times New Roman"/>
      <w:i w:val="0"/>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24"/>
    </w:rPr>
  </w:style>
  <w:style w:customStyle="1" w:styleId="Heading2" w:type="paragraph">
    <w:name w:val="heading 2"/>
    <w:pPr>
      <w:keepNext/>
      <w:spacing w:after="160" w:before="240"/>
      <w:ind w:firstLine="0"/>
    </w:pPr>
    <w:rPr>
      <w:rFonts w:ascii="Times New Roman" w:hAnsi="Times New Roman"/>
      <w:b/>
      <w:i w:val="0"/>
      <w:color w:val="000000"/>
      <w:sz w:val="24"/>
    </w:rPr>
  </w:style>
  <w:style w:customStyle="1" w:styleId="Heading3" w:type="paragraph">
    <w:name w:val="heading 3"/>
    <w:pPr>
      <w:keepNext/>
      <w:spacing w:after="160" w:before="240"/>
      <w:ind w:firstLine="0"/>
    </w:pPr>
    <w:rPr>
      <w:rFonts w:ascii="Times New Roman" w:hAnsi="Times New Roman"/>
      <w:b/>
      <w:i w:val="0"/>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2026-10-27T19:17:03Z</dcterms:created>
  <dcterms:modified xsi:type="dcterms:W3CDTF">2026-10-27T19:17:03Z</dcterms:modified>
</cp:coreProperties>
</file>

<file path=docProps/custom.xml><?xml version="1.0" encoding="utf-8"?>
<Properties xmlns="http://schemas.openxmlformats.org/officeDocument/2006/custom-properties" xmlns:vt="http://schemas.openxmlformats.org/officeDocument/2006/docPropsVTypes"/>
</file>