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Inventário geral de equações do capítulo</w:t>
      </w:r>
    </w:p>
    <w:p>
      <w:r>
        <w:t>Recurso solar e modelagem da conversão fotovoltaica   PPGER UFPB   19 de outubro de 2026</w:t>
      </w:r>
    </w:p>
    <w:p>
      <w:r>
        <w:t>Este inventário organiza 61 relações numeradas: 37 do núcleo já escrito no notebook e 24 de apoio, verificadas no código. Usar a coluna de inserção para distribuir a redação e manter os IDs nas referências cruzadas.</w:t>
      </w:r>
    </w:p>
    <w:p>
      <w:r>
        <w:t>Cada linha conta uma relação. Constantes e parâmetros não entram nessa contagem. Os itens N constituem o núcleo de inserção; os itens C detalham o método e podem ser incluídos conforme o espaço e a discussão da subseção. A numeração final do capítulo será definida na consolidação.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Núcleo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Apoio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1 Fundamentos e caracterização do recurso solar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2 Condições ambientais e de entorno da conversão fotovoltaica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3 Modelagem da conversão fotovoltaica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11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18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4 Avaliação de desempenho perdas e validação da modelagem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16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Total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37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61</w:t>
            </w:r>
          </w:p>
        </w:tc>
      </w:tr>
    </w:tbl>
    <w:p>
      <w:r>
        <w:t>A equação de Faiman possui um único ID E3.03 e local de inserção em 3.2. Em 2.1 fazer remissão a esse ID. No inventário geral os quatro quadros são reunidos para controle; cada Word de seção contém somente os itens que lhe pertencem.</w:t>
      </w:r>
    </w:p>
    <w:p>
      <w:pPr>
        <w:pStyle w:val="Heading1"/>
        <w:pageBreakBefore w:val="0"/>
      </w:pPr>
      <w:r>
        <w:t>Seção 1 Fundamentos e caracterização do recurso solar</w:t>
      </w:r>
    </w:p>
    <w:p>
      <w:r>
        <w:t>Distribuição por subseção: 1.1 com 2 relações; 1.2 com 2 relações; 1.3 com 1 relação; 1.4 com 1 relação.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Origem e uso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E1.01</w:t>
              <w:br/>
              <w:t>1.1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φ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δ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φ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δ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ω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Ângulo zenital.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posição do Sol à latitude e ao tempo solar.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φ latitude; δ declinação; ω ângulo horário; θz zênite.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R03, R04, R05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E1.02</w:t>
              <w:br/>
              <w:t>1.1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Irradiância extraterrestre horizontal. </w:t>
            </w:r>
            <w:r>
              <w:rPr>
                <w:rFonts w:ascii="Times New Roman" w:hAnsi="Times New Roman"/>
                <w:color w:val="000000"/>
                <w:sz w:val="24"/>
              </w:rPr>
              <w:t>Projetar a irradiância extraterrestre normal na horizontal.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G0n e G0h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R03, R04, R05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E1.03</w:t>
              <w:br/>
              <w:t>1.2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Componentes na horizontal. </w:t>
            </w:r>
            <w:r>
              <w:rPr>
                <w:rFonts w:ascii="Times New Roman" w:hAnsi="Times New Roman"/>
                <w:color w:val="000000"/>
                <w:sz w:val="24"/>
              </w:rPr>
              <w:t>Distinguir irradiâncias global horizontal direta normal e difusa horizontal.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GHI DNI e DHI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R01, R14, R18,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E1.04</w:t>
              <w:br/>
              <w:t>1.2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Irradiação acumulada. </w:t>
            </w:r>
            <w:r>
              <w:rPr>
                <w:rFonts w:ascii="Times New Roman" w:hAnsi="Times New Roman"/>
                <w:color w:val="000000"/>
                <w:sz w:val="24"/>
              </w:rPr>
              <w:t>Integrar irradiância média no plano e período definidos.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 em W/m²; Δt em h; H em Wh/m²; dividir por 1000 para kWh/m².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R01, R14, R18,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E1.05</w:t>
              <w:br/>
              <w:t>1.3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Δ</m:t>
                  </m:r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média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média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Variabilidade relativa da irradiância. </w:t>
            </w:r>
            <w:r>
              <w:rPr>
                <w:rFonts w:ascii="Times New Roman" w:hAnsi="Times New Roman"/>
                <w:color w:val="000000"/>
                <w:sz w:val="24"/>
              </w:rPr>
              <w:t>Ordenar os dias pelo passo absoluto médio da POA relativo à sua média.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Gi POA dos pares válidos ordenados do dia; resultado adimensional.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R01,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E1.06</w:t>
              <w:br/>
              <w:t>1.4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C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r>
                <w:rPr>
                  <w:rFonts w:ascii="Cambria Math" w:hAnsi="Cambria Math"/>
                  <w:sz w:val="26"/>
                </w:rPr>
                <m:t> 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Cobertura dos dados. </w:t>
            </w:r>
            <w:r>
              <w:rPr>
                <w:rFonts w:ascii="Times New Roman" w:hAnsi="Times New Roman"/>
                <w:color w:val="000000"/>
                <w:sz w:val="24"/>
              </w:rPr>
              <w:t>Informar a proporção de intervalos válidos frente aos esperados.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Npares e Nesperados na mesma janela; C em %.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R01, R02, R21, R22, R23, R25, R26</w:t>
            </w:r>
          </w:p>
        </w:tc>
      </w:tr>
    </w:tbl>
    <w:p>
      <w:r>
        <w:t>Os ângulos são calculados por SPA no meio dos intervalos. As componentes locais GHI DNI e DHI são reconstruídas na exploração inversa. A variabilidade usa os pares disponíveis de cada dia.</w:t>
      </w:r>
    </w:p>
    <w:p>
      <w:pPr>
        <w:pStyle w:val="Heading1"/>
        <w:pageBreakBefore w:val="0"/>
      </w:pPr>
      <w:r>
        <w:t>Seção 2 Condições ambientais e de entorno da conversão fotovoltaica</w:t>
      </w:r>
    </w:p>
    <w:p>
      <w:r>
        <w:t>Distribuição por subseção: 2.1 com 3 relações; 2.2 com 1 relação; 2.3 com 1 relação; 2.4 com 2 relações.</w:t>
      </w:r>
    </w:p>
    <w:p>
      <w:r>
        <w:t>Em 2.1 as relações de apoio descrevem as estatísticas tabuladas. O modelo térmico deve ser citado em E3.03 sem repetir sua inserção.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Origem e uso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E2.01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  <w:sz w:val="26"/>
                    </w:rPr>
                    <m:t>x</m:t>
                  </m:r>
                </m:e>
              </m:ba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Média amostral. </w:t>
            </w:r>
            <w:r>
              <w:rPr>
                <w:rFonts w:ascii="Times New Roman" w:hAnsi="Times New Roman"/>
                <w:color w:val="000000"/>
                <w:sz w:val="24"/>
              </w:rPr>
              <w:t>Resumir a posição das distribuições ambientais e das variáveis tabuladas.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xi variável analisada; n pares; média na unidade de x.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E2.02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=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x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den>
                  </m:f>
                </m:e>
              </m:ra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Desvio padrão amostral.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dispersão com a convenção amostral usada no projeto.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maior que 1; sx na unidade de x.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E2.03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t>Q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Amplitude interquartil. </w:t>
            </w:r>
            <w:r>
              <w:rPr>
                <w:rFonts w:ascii="Times New Roman" w:hAnsi="Times New Roman"/>
                <w:color w:val="000000"/>
                <w:sz w:val="24"/>
              </w:rPr>
              <w:t>Resumir a dispersão central entre os percentis 25 e 75.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Q1 e Q3 quartis da mesma variável e janela.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E2.04</w:t>
              <w:br/>
              <w:t>2.2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 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t> 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r>
                    <w:rPr>
                      <w:rFonts w:ascii="Cambria Math" w:hAnsi="Cambria Math"/>
                      <w:sz w:val="26"/>
                    </w:rPr>
                    <m:t>β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2</m:t>
                  </m: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Reflexão isotrópica do solo. </w:t>
            </w:r>
            <w:r>
              <w:rPr>
                <w:rFonts w:ascii="Times New Roman" w:hAnsi="Times New Roman"/>
                <w:color w:val="000000"/>
                <w:sz w:val="24"/>
              </w:rPr>
              <w:t>Estimar a parcela refletida pelo solo que incide no plano inclinado.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ρg albedo; β inclinação; irradiâncias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R06, R14,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E2.05</w:t>
              <w:br/>
              <w:t>2.3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Irradiância efetiva. </w:t>
            </w:r>
            <w:r>
              <w:rPr>
                <w:rFonts w:ascii="Times New Roman" w:hAnsi="Times New Roman"/>
                <w:color w:val="000000"/>
                <w:sz w:val="24"/>
              </w:rPr>
              <w:t>Aplicar a hipótese de atenuação adicional à leitura POA.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 fração assumida entre 0 e 1; Gef e GPOA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R28,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E2.06</w:t>
              <w:br/>
              <w:t>2.4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β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β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a</m:t>
                      </m:r>
                    </m:sub>
                  </m:sSub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Ângulo de incidência.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geometria do Sol à orientação do plano.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β inclinação; γs e γa azimutes solar e do arranjo; θi incidência.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R03, R09,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E2.07</w:t>
              <w:br/>
              <w:t>2.4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ℓ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tan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Projeção geométrica de sombra. </w:t>
            </w:r>
            <w:r>
              <w:rPr>
                <w:rFonts w:ascii="Times New Roman" w:hAnsi="Times New Roman"/>
                <w:color w:val="000000"/>
                <w:sz w:val="24"/>
              </w:rPr>
              <w:t>Ilustrar a projeção horizontal de uma altura sob o Sol.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h altura; αs altura solar positiva; ℓ comprimento na unidade de h.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R03, R09, R29</w:t>
            </w:r>
          </w:p>
        </w:tc>
      </w:tr>
    </w:tbl>
    <w:p>
      <w:r>
        <w:t>A reflexão do solo pertence aos cenários de transposição e não deve ser somada novamente à POA medida. A atenuação de sujidade é hipotética. A projeção de sombra é um exemplo geométrico sem dimensões das fileiras reais.</w:t>
      </w:r>
    </w:p>
    <w:p>
      <w:pPr>
        <w:pStyle w:val="Heading1"/>
        <w:pageBreakBefore w:val="0"/>
      </w:pPr>
      <w:r>
        <w:t>Seção 3 Modelagem da conversão fotovoltaica</w:t>
      </w:r>
    </w:p>
    <w:p>
      <w:r>
        <w:t>Distribuição por subseção: 3.1 com 2 relações; 3.2 com 1 relação; 3.3 com 3 relações; 3.4 com 4 relações; 3.5 com 7 relações; 3.6 com 1 relação.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Origem e uso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E3.01</w:t>
              <w:br/>
              <w:t>3.1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é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Transposição para o plano do arranjo. </w:t>
            </w:r>
            <w:r>
              <w:rPr>
                <w:rFonts w:ascii="Times New Roman" w:hAnsi="Times New Roman"/>
                <w:color w:val="000000"/>
                <w:sz w:val="24"/>
              </w:rPr>
              <w:t>Combinar radiação direta difusa do céu e refletida pelo solo.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Gcéu e Gsolo no plano; todos os termos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R06, R14, R15, R16, R18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E3.02</w:t>
              <w:br/>
              <w:t>3.1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Resíduo de fechamento da POA. </w:t>
            </w:r>
            <w:r>
              <w:rPr>
                <w:rFonts w:ascii="Times New Roman" w:hAnsi="Times New Roman"/>
                <w:color w:val="000000"/>
                <w:sz w:val="24"/>
              </w:rPr>
              <w:t>Verificar o fechamento numérico da transposição inversa.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POA reconstruída e medida no mesmo intervalo; resíduo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R06, R14, R15, R16, R18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E3.03</w:t>
              <w:br/>
              <w:t>3.2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Temperatura operacional de Faiman. </w:t>
            </w:r>
            <w:r>
              <w:rPr>
                <w:rFonts w:ascii="Times New Roman" w:hAnsi="Times New Roman"/>
                <w:color w:val="000000"/>
                <w:sz w:val="24"/>
              </w:rPr>
              <w:t>Estimar a temperatura operacional a partir da irradiância e da meteorologia.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Ta em °C; v em m/s; U0 e U1 coeficientes térmicos.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R07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E3.04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rFonts w:ascii="Cambria Math" w:hAnsi="Cambria Math"/>
                              <w:sz w:val="26"/>
                            </w:rPr>
                            <m:t>V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+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s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26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V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h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Modelo de diodo único. </w:t>
            </w:r>
            <w:r>
              <w:rPr>
                <w:rFonts w:ascii="Times New Roman" w:hAnsi="Times New Roman"/>
                <w:color w:val="000000"/>
                <w:sz w:val="24"/>
              </w:rPr>
              <w:t>Relacionar corrente e tensão do módulo nas condições operacionais.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IL e I0 correntes; Rs e Rsh resistências; a fator em volts.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R09, R10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E3.05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P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V</m:t>
              </m:r>
              <m:r>
                <w:rPr>
                  <w:rFonts w:ascii="Cambria Math" w:hAnsi="Cambria Math"/>
                  <w:sz w:val="26"/>
                </w:rPr>
                <m:t>I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elétrica. </w:t>
            </w:r>
            <w:r>
              <w:rPr>
                <w:rFonts w:ascii="Times New Roman" w:hAnsi="Times New Roman"/>
                <w:color w:val="000000"/>
                <w:sz w:val="24"/>
              </w:rPr>
              <w:t>Obter potência e construir curvas P–V e o ponto de máxima potência.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V em V; I em A; P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R09, R10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E3.06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V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6"/>
                    </w:rPr>
                    <m:t>1000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o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25</m:t>
                      </m:r>
                    </m:e>
                  </m:d>
                </m:e>
              </m:d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ℓ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Comparação CC com PVWatts. </w:t>
            </w:r>
            <w:r>
              <w:rPr>
                <w:rFonts w:ascii="Times New Roman" w:hAnsi="Times New Roman"/>
                <w:color w:val="000000"/>
                <w:sz w:val="24"/>
              </w:rPr>
              <w:t>Registrar a aproximação linear CC exportada como comparação auxiliar.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Gef em W/m²; γ em °C⁻¹; PSTC potência total dos módulos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R09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E3.07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Tensão em série. </w:t>
            </w:r>
            <w:r>
              <w:rPr>
                <w:rFonts w:ascii="Times New Roman" w:hAnsi="Times New Roman"/>
                <w:color w:val="000000"/>
                <w:sz w:val="24"/>
              </w:rPr>
              <w:t>Calcular a tensão do equivalente de módulos em série.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Ns número em série; Vm tensão do módulo.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E3.08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Corrente em paralelo. </w:t>
            </w:r>
            <w:r>
              <w:rPr>
                <w:rFonts w:ascii="Times New Roman" w:hAnsi="Times New Roman"/>
                <w:color w:val="000000"/>
                <w:sz w:val="24"/>
              </w:rPr>
              <w:t>Calcular a corrente do equivalente de strings em paralelo.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Np strings em paralelo; Im corrente do módulo.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E3.09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do arranjo ideal. </w:t>
            </w:r>
            <w:r>
              <w:rPr>
                <w:rFonts w:ascii="Times New Roman" w:hAnsi="Times New Roman"/>
                <w:color w:val="000000"/>
                <w:sz w:val="24"/>
              </w:rPr>
              <w:t>Escalar a potência do módulo para a associação ideal.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Pm potência do módulo; Pa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E3.10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ℓ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Perdas CC multiplicativas. </w:t>
            </w:r>
            <w:r>
              <w:rPr>
                <w:rFonts w:ascii="Times New Roman" w:hAnsi="Times New Roman"/>
                <w:color w:val="000000"/>
                <w:sz w:val="24"/>
              </w:rPr>
              <w:t>Aplicar perdas assumidas de cabos mismatch e conexões.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ℓj frações de perda; Pa potência bruta; PDC potência líquida.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E3.11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min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D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C</m:t>
                          </m:r>
                        </m:sub>
                      </m:sSub>
                    </m:e>
                  </m:d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,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m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x</m:t>
                      </m:r>
                    </m:sub>
                  </m:sSub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CA limitada. </w:t>
            </w:r>
            <w:r>
              <w:rPr>
                <w:rFonts w:ascii="Times New Roman" w:hAnsi="Times New Roman"/>
                <w:color w:val="000000"/>
                <w:sz w:val="24"/>
              </w:rPr>
              <w:t>Limitar a conversão pela capacidade CA assumida.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 eficiência; PACmax limite; potências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E3.12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v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Referência CC do inversor. </w:t>
            </w:r>
            <w:r>
              <w:rPr>
                <w:rFonts w:ascii="Times New Roman" w:hAnsi="Times New Roman"/>
                <w:color w:val="000000"/>
                <w:sz w:val="24"/>
              </w:rPr>
              <w:t>Converter a capacidade CA em potência CC de referência da curva.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ηnom eficiência nominal; Pdc0 não é a potência STC dos módulos.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E3.13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ζ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0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,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v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Carregamento relativo. </w:t>
            </w:r>
            <w:r>
              <w:rPr>
                <w:rFonts w:ascii="Times New Roman" w:hAnsi="Times New Roman"/>
                <w:color w:val="000000"/>
                <w:sz w:val="24"/>
              </w:rPr>
              <w:t>Definir a variável independente da curva de eficiência.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ζ adimensional; mesma unidade nas duas potências.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E3.14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0.0162</m:t>
                  </m:r>
                  <m:r>
                    <w:rPr>
                      <w:rFonts w:ascii="Cambria Math" w:hAnsi="Cambria Math"/>
                      <w:sz w:val="26"/>
                    </w:rPr>
                    <m:t>ζ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0.0059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ζ</m:t>
                      </m:r>
                    </m:den>
                  </m:f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0.9858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Eficiência PVWatts. </w:t>
            </w:r>
            <w:r>
              <w:rPr>
                <w:rFonts w:ascii="Times New Roman" w:hAnsi="Times New Roman"/>
                <w:color w:val="000000"/>
                <w:sz w:val="24"/>
              </w:rPr>
              <w:t>Calcular a eficiência em função do carregamento do inversor.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ζ positivo; ηnom igual a 0,98; ηref igual a 0,9637.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E3.15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antes do clipping. </w:t>
            </w:r>
            <w:r>
              <w:rPr>
                <w:rFonts w:ascii="Times New Roman" w:hAnsi="Times New Roman"/>
                <w:color w:val="000000"/>
                <w:sz w:val="24"/>
              </w:rPr>
              <w:t>Impor o piso físico não negativo antes da limitação superior.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Ppre em W; PDC igual a zero produz Ppre igual a zero.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E3.16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suprimida pelo clipping.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parcela limitada pela capacidade do inversor.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Pclip em W; não confundir com energia perdida.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E3.17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CA final. </w:t>
            </w:r>
            <w:r>
              <w:rPr>
                <w:rFonts w:ascii="Times New Roman" w:hAnsi="Times New Roman"/>
                <w:color w:val="000000"/>
                <w:sz w:val="24"/>
              </w:rPr>
              <w:t>Aplicar a perda CA assumida após a conversão e o clipping.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ℓAC fração de perda; PACfinal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E3.18</w:t>
              <w:br/>
              <w:t>3.6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Energia elétrica. </w:t>
            </w:r>
            <w:r>
              <w:rPr>
                <w:rFonts w:ascii="Times New Roman" w:hAnsi="Times New Roman"/>
                <w:color w:val="000000"/>
                <w:sz w:val="24"/>
              </w:rPr>
              <w:t>Integrar a potência média nos intervalos selecionados.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 em kW; Δt igual a 0,25 h; E em kWh. Se P estiver em W dividir por 1000.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</w:t>
            </w:r>
          </w:p>
        </w:tc>
      </w:tr>
    </w:tbl>
    <w:p>
      <w:r>
        <w:t>A temperatura operacional aproxima a temperatura da célula. Curvas CEC e a associação 20 em série por 6 em paralelo não constituem validação de campo. A curva CC PVWatts é auxiliar. A POA reconstruída tem fechamento numérico sem validação independente das componentes.</w:t>
      </w:r>
    </w:p>
    <w:p>
      <w:pPr>
        <w:pStyle w:val="Heading1"/>
        <w:pageBreakBefore w:val="0"/>
      </w:pPr>
      <w:r>
        <w:t>Seção 4 Avaliação de desempenho perdas e validação da modelagem</w:t>
      </w:r>
    </w:p>
    <w:p>
      <w:r>
        <w:t>Distribuição por subseção: 4.1 com 3 relações; 4.2 com 3 relações; 4.3 com 3 relações; 4.4 com 10 relações; 4.5 com 11 relações.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Origem e uso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E4.01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Variação de energia entre estágios.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diferença calculada entre dois estágios consecutivos.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Ej energias na mesma máscara temporal em kWh.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E4.02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r>
                    <w:rPr>
                      <w:rFonts w:ascii="Cambria Math" w:hAnsi="Cambria Math"/>
                      <w:sz w:val="26"/>
                    </w:rPr>
                    <m:t>Δ</m:t>
                  </m:r>
                </m:e>
              </m:nary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Fechamento da cadeia de energia. </w:t>
            </w:r>
            <w:r>
              <w:rPr>
                <w:rFonts w:ascii="Times New Roman" w:hAnsi="Times New Roman"/>
                <w:color w:val="000000"/>
                <w:sz w:val="24"/>
              </w:rPr>
              <w:t>Conferir que a soma das variações recupera a diferença total.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Mesmos estágios e intervalos; podem ocorrer ganhos sob frio.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E4.03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P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linear de referência. </w:t>
            </w:r>
            <w:r>
              <w:rPr>
                <w:rFonts w:ascii="Times New Roman" w:hAnsi="Times New Roman"/>
                <w:color w:val="000000"/>
                <w:sz w:val="24"/>
              </w:rPr>
              <w:t>Definir a referência linear STC que inicia a cadeia energética.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P0 capacidade declarada; Gref igual a 1000 W/m²; potências na mesma unidade.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E4.04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de referência. </w:t>
            </w:r>
            <w:r>
              <w:rPr>
                <w:rFonts w:ascii="Times New Roman" w:hAnsi="Times New Roman"/>
                <w:color w:val="000000"/>
                <w:sz w:val="24"/>
              </w:rPr>
              <w:t>Expressar o recurso como horas equivalentes no plano e período definidos.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HPOA em kWh/m²; Gref igual a 1 kW/m²; Yr em h.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E4.05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do arranjo. </w:t>
            </w:r>
            <w:r>
              <w:rPr>
                <w:rFonts w:ascii="Times New Roman" w:hAnsi="Times New Roman"/>
                <w:color w:val="000000"/>
                <w:sz w:val="24"/>
              </w:rPr>
              <w:t>Normalizar a energia CC pela capacidade declarada.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EDC em kWh; P0 em kWp; Ya em kWh/kWp ou horas equivalentes.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E4.06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final. </w:t>
            </w:r>
            <w:r>
              <w:rPr>
                <w:rFonts w:ascii="Times New Roman" w:hAnsi="Times New Roman"/>
                <w:color w:val="000000"/>
                <w:sz w:val="24"/>
              </w:rPr>
              <w:t>Normalizar a energia CA observada ou modelada pela capacidade.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EAC em kWh; P0 em kWp; Yf em kWh/kWp.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E4.07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P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Razão de desempenho.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produtividade final ao recurso da mesma janela.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 adimensional; multiplicar por 100 quando apresentado em %.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E4.08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 de captura normalizada. </w:t>
            </w:r>
            <w:r>
              <w:rPr>
                <w:rFonts w:ascii="Times New Roman" w:hAnsi="Times New Roman"/>
                <w:color w:val="000000"/>
                <w:sz w:val="24"/>
              </w:rPr>
              <w:t>Comparar o recurso e a produtividade CC do modelo.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Lc em horas equivalentes.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E4.09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 de sistema normalizada. </w:t>
            </w:r>
            <w:r>
              <w:rPr>
                <w:rFonts w:ascii="Times New Roman" w:hAnsi="Times New Roman"/>
                <w:color w:val="000000"/>
                <w:sz w:val="24"/>
              </w:rPr>
              <w:t>Comparar as produtividades CC e CA do modelo.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Ls em horas equivalentes.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E4.10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Resíduo de potência. </w:t>
            </w:r>
            <w:r>
              <w:rPr>
                <w:rFonts w:ascii="Times New Roman" w:hAnsi="Times New Roman"/>
                <w:color w:val="000000"/>
                <w:sz w:val="24"/>
              </w:rPr>
              <w:t>Fixar o sinal do erro usado nas tabelas e gráficos.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pi potência simulada; yi observada; ambas em kW.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E4.11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B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médio de viés.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tendência média de superestimação ou subestimação.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pares válidos; MBE em kW.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E4.12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A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absoluto médio.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magnitude média do erro sem cancelamento de sinais.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MAE em kW.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E4.13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=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Raiz do erro quadrático médio. </w:t>
            </w:r>
            <w:r>
              <w:rPr>
                <w:rFonts w:ascii="Times New Roman" w:hAnsi="Times New Roman"/>
                <w:color w:val="000000"/>
                <w:sz w:val="24"/>
              </w:rPr>
              <w:t>Resumir a magnitude quadrática dos mesmos resíduos.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RMSE em kW.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E4.14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B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</m:ba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Viés normalizado. </w:t>
            </w:r>
            <w:r>
              <w:rPr>
                <w:rFonts w:ascii="Times New Roman" w:hAnsi="Times New Roman"/>
                <w:color w:val="000000"/>
                <w:sz w:val="24"/>
              </w:rPr>
              <w:t>Expressar o viés em relação à média observada dos pares.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nMBE em %; média observada não nula.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E4.15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</m:ba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quadrático normalizado. </w:t>
            </w:r>
            <w:r>
              <w:rPr>
                <w:rFonts w:ascii="Times New Roman" w:hAnsi="Times New Roman"/>
                <w:color w:val="000000"/>
                <w:sz w:val="24"/>
              </w:rPr>
              <w:t>Expressar o RMSE em relação à média observada dos pares.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nRMSE em %; não usar potência nominal como denominador neste projeto.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E4.16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</m:bar>
                        </m:e>
                      </m:d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</m:ba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y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p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</m:e>
                  </m:rad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Correlação de Pearson.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associação linear entre observações e simulações.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 adimensional; requer variância positiva nas duas séries.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E4.17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p>
                <m:e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∑</m:t>
                  </m:r>
                  <m:sSubSup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</m:ba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Coeficiente de determinação. </w:t>
            </w:r>
            <w:r>
              <w:rPr>
                <w:rFonts w:ascii="Times New Roman" w:hAnsi="Times New Roman"/>
                <w:color w:val="000000"/>
                <w:sz w:val="24"/>
              </w:rPr>
              <w:t>Comparar o erro quadrático à dispersão das observações.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R² adimensional; denominador positivo.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E4.18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k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∈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b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∈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b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2</m:t>
                          </m:r>
                        </m:sup>
                      </m:sSubSup>
                    </m:e>
                  </m:nary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Fator empírico de abril. </w:t>
            </w:r>
            <w:r>
              <w:rPr>
                <w:rFonts w:ascii="Times New Roman" w:hAnsi="Times New Roman"/>
                <w:color w:val="000000"/>
                <w:sz w:val="24"/>
              </w:rPr>
              <w:t>Ajustar um fator multiplicativo secundário apenas com os pares de abril.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k adimensional; pi e yi na mesma unidade.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E4.19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Sup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p>
              </m:sSubSup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k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com ajuste empírico. </w:t>
            </w:r>
            <w:r>
              <w:rPr>
                <w:rFonts w:ascii="Times New Roman" w:hAnsi="Times New Roman"/>
                <w:color w:val="000000"/>
                <w:sz w:val="24"/>
              </w:rPr>
              <w:t>Aplicar o fator de abril e reportar os resultados separadamente do modelo físico.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Potências na mesma unidade; k fixado no mês de ajuste.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E4.20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α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Absortância solar. </w:t>
            </w:r>
            <w:r>
              <w:rPr>
                <w:rFonts w:ascii="Times New Roman" w:hAnsi="Times New Roman"/>
                <w:color w:val="000000"/>
                <w:sz w:val="24"/>
              </w:rPr>
              <w:t>Fechar a partição óptica do exemplo semitransparente.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α absortância; ρs refletância; τs transmitância solar; frações.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E4.21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incidente. </w:t>
            </w:r>
            <w:r>
              <w:rPr>
                <w:rFonts w:ascii="Times New Roman" w:hAnsi="Times New Roman"/>
                <w:color w:val="000000"/>
                <w:sz w:val="24"/>
              </w:rPr>
              <w:t>Converter a irradiância do plano em potência incidente na área.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 em W/m²; A em m²; Pinc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E4.22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refletida.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fração refletida da potência incidente.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Pref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E4.23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transmitida.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parcela solar que atravessa o elemento.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Ptrans em W; τs solar difere da transmitância visível.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E4.24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min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{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+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rPr>
                                  <m:sty m:val="p"/>
                                </m:rPr>
                                <m:t>o</m:t>
                              </m:r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rPr>
                                  <m:sty m:val="p"/>
                                </m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25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,</m:t>
              </m:r>
              <m:r>
                <w:rPr>
                  <w:rFonts w:ascii="Cambria Math" w:hAnsi="Cambria Math"/>
                  <w:sz w:val="26"/>
                </w:rPr>
                <m:t>α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}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Eficiência elétrica do exemplo BIPV. </w:t>
            </w:r>
            <w:r>
              <w:rPr>
                <w:rFonts w:ascii="Times New Roman" w:hAnsi="Times New Roman"/>
                <w:color w:val="000000"/>
                <w:sz w:val="24"/>
              </w:rPr>
              <w:t>Corrigir a eficiência assumida pela temperatura e limitar a conversão à absorção.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ηref eficiência a 25 °C; γ em °C⁻¹.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E4.25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elétrica do elemento BIPV. </w:t>
            </w:r>
            <w:r>
              <w:rPr>
                <w:rFonts w:ascii="Times New Roman" w:hAnsi="Times New Roman"/>
                <w:color w:val="000000"/>
                <w:sz w:val="24"/>
              </w:rPr>
              <w:t>Separar a parcela convertida em eletricidade no balanço solar.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 eficiência instantânea; Pe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E4.26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</m:d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Calor absorvido após conversão elétrica. </w:t>
            </w:r>
            <w:r>
              <w:rPr>
                <w:rFonts w:ascii="Times New Roman" w:hAnsi="Times New Roman"/>
                <w:color w:val="000000"/>
                <w:sz w:val="24"/>
              </w:rPr>
              <w:t>Calcular a parcela absorvida que permanece térmica.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Qabs representa potência térmica em W apesar do símbolo Q.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E4.27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Calor absorvido dirigido ao exterior. </w:t>
            </w:r>
            <w:r>
              <w:rPr>
                <w:rFonts w:ascii="Times New Roman" w:hAnsi="Times New Roman"/>
                <w:color w:val="000000"/>
                <w:sz w:val="24"/>
              </w:rPr>
              <w:t>Separar a fração do calor absorvido dirigida ao exterior.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fin fração dirigida ao interior entre 0 e 1; Qout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E4.28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Ganho solar para o interior. </w:t>
            </w:r>
            <w:r>
              <w:rPr>
                <w:rFonts w:ascii="Times New Roman" w:hAnsi="Times New Roman"/>
                <w:color w:val="000000"/>
                <w:sz w:val="24"/>
              </w:rPr>
              <w:t>Somar transmissão solar e fração térmica dirigida ao interior.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Qin é potência em W; fin fração térmica interior.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E4.29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G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q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SHGC equivalente simplificado. </w:t>
            </w:r>
            <w:r>
              <w:rPr>
                <w:rFonts w:ascii="Times New Roman" w:hAnsi="Times New Roman"/>
                <w:color w:val="000000"/>
                <w:sz w:val="24"/>
              </w:rPr>
              <w:t>Normalizar o ganho solar interior pela potência incidente.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SHGCeq adimensional; não equivale a certificação de produto.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E4.30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Conservação do balanço solar. </w:t>
            </w:r>
            <w:r>
              <w:rPr>
                <w:rFonts w:ascii="Times New Roman" w:hAnsi="Times New Roman"/>
                <w:color w:val="000000"/>
                <w:sz w:val="24"/>
              </w:rPr>
              <w:t>Conferir a conservação das parcelas ópticas elétricas e térmicas.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Todos os termos em W; o código testa o resíduo de fechamento.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R14, R19, R20</w:t>
            </w:r>
          </w:p>
        </w:tc>
      </w:tr>
    </w:tbl>
    <w:p>
      <w:r>
        <w:t>As perdas por estágio são calculadas e não identificam causas reais isoladamente. O PR exige a mesma janela de energia e irradiação. O fator empírico usa apenas abril. O balanço semitransparente BIPV é hipotético e seu SHGC equivalente não constitui certificação.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As temperaturas são expressas em °C; diferenças de temperatura também podem ser expressas em K. Os ângulos devem seguir uma convenção única de azimute.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src/projeto_fv.py::geometry  E1.01, E1.02, E2.06</w:t>
      </w:r>
    </w:p>
    <w:p>
      <w:r>
        <w:t>docs/secoes_capitulo.json::1.2  E1.03</w:t>
      </w:r>
    </w:p>
    <w:p>
      <w:r>
        <w:t>src/refinamento_fv.py::analytics  E1.04, E1.05, E1.06, E2.01, E2.02, E2.03, E3.07, E3.08, E3.09</w:t>
      </w:r>
    </w:p>
    <w:p>
      <w:r>
        <w:t>src/projeto_fv.py::transpose  E2.04, E3.01</w:t>
      </w:r>
    </w:p>
    <w:p>
      <w:r>
        <w:t>src/projeto_fv.py::simulate  E2.05, E3.03, E3.06, E3.10, E3.17, E4.03</w:t>
      </w:r>
    </w:p>
    <w:p>
      <w:r>
        <w:t>docs/secoes_capitulo.json::2.4  E2.07</w:t>
      </w:r>
    </w:p>
    <w:p>
      <w:r>
        <w:t>src/projeto_fv.py::reverse_components  E3.02</w:t>
      </w:r>
    </w:p>
    <w:p>
      <w:r>
        <w:t>src/projeto_fv.py::module_mpp  E3.04</w:t>
      </w:r>
    </w:p>
    <w:p>
      <w:r>
        <w:t>src/projeto_fv.py::module_curves  E3.05</w:t>
      </w:r>
    </w:p>
    <w:p>
      <w:r>
        <w:t>src/projeto_fv.py::inverter_pvwatts_stages  E3.11, E3.12, E3.13, E3.14, E3.15, E3.16</w:t>
      </w:r>
    </w:p>
    <w:p>
      <w:r>
        <w:t>src/projeto_fv.py::daily_paired_energy  E3.18</w:t>
      </w:r>
    </w:p>
    <w:p>
      <w:r>
        <w:t>src/projeto_fv.py::performance  E4.01, E4.02, E4.04, E4.05, E4.06, E4.07, E4.08, E4.09</w:t>
      </w:r>
    </w:p>
    <w:p>
      <w:r>
        <w:t>src/projeto_fv.py::metrics  E4.10, E4.11, E4.12, E4.13, E4.14, E4.15, E4.16, E4.17</w:t>
      </w:r>
    </w:p>
    <w:p>
      <w:r>
        <w:t>src/projeto_fv.py::run_models  E4.18, E4.19</w:t>
      </w:r>
    </w:p>
    <w:p>
      <w:r>
        <w:t>src/projeto_fv.py::bipv_scenario  E4.20, E4.21, E4.22, E4.23, E4.24, E4.25, E4.26, E4.27, E4.28, E4.29, E4.30</w:t>
      </w:r>
    </w:p>
    <w:p>
      <w:r>
        <w:t>O núcleo N foi conferido nas 19 subseções do notebook e na matriz do capítulo da revisão 17ffe0eeb7d7. A fórmula repetida em 2.1 e 3.2 recebeu um só ID. Conversões de unidade, máscaras de qualidade e algoritmos internos de SPA, CEC e Perez–Driesse permanecem descritos no código e nas referências, sem numeração editorial adicional.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p>
      <w:r>
        <w:t>Os códigos R identificam as fontes já catalogadas no projeto. As equações de apoio foram transcritas do código; para a redação científica, citar a fonte metodológica correspondente e explicitar as hipóteses do estudo.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Inventário geral de equações do capítulo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