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1</w:t>
      </w:r>
    </w:p>
    <w:p>
      <w:r>
        <w:t>Recurso solar e modelagem da conversão fotovoltaica   PPGER UFPB   19 de outubro de 2026</w:t>
      </w:r>
    </w:p>
    <w:p>
      <w:r>
        <w:t>Fundamentos e caracterização do recurso solar. Responsáveis: Samuel.</w:t>
      </w:r>
    </w:p>
    <w:p>
      <w:r>
        <w:t>Este inventário organiza 6 relações numeradas: 6 do núcleo já escrito no notebook e 0 de apoio, verificadas no código. Usar a coluna de inserção para distribuir a redação e manter os IDs nas referências cruzadas.</w:t>
      </w:r>
    </w:p>
    <w:p>
      <w:r>
        <w:t>Cada linha conta uma relação. Constantes e parâmetros não entram nessa contagem. Os itens N constituem o núcleo de inserção; os itens C detalham o método e podem ser incluídos conforme o espaço e a discussão da subseção. A numeração final do capítulo será definida na consolidação.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Núcleo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Apoio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1 Fundamentos e caracterização do recurso solar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1 Fundamentos e caracterização do recurso solar</w:t>
      </w:r>
    </w:p>
    <w:p>
      <w:r>
        <w:t>Distribuição por subseção: 1.1 com 2 relações; 1.2 com 2 relações; 1.3 com 1 relação; 1.4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E1.01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ω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zenital.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posição do Sol à latitude e ao tempo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φ latitude; δ declinação; ω ângulo horário; θz zênite.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E1.02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extraterrestre horizontal. </w:t>
            </w:r>
            <w:r>
              <w:rPr>
                <w:rFonts w:ascii="Times New Roman" w:hAnsi="Times New Roman"/>
                <w:color w:val="000000"/>
                <w:sz w:val="24"/>
              </w:rPr>
              <w:t>Projetar a irradiância extraterrestre normal na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G0n e G0h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E1.03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Componentes na horizontal. </w:t>
            </w:r>
            <w:r>
              <w:rPr>
                <w:rFonts w:ascii="Times New Roman" w:hAnsi="Times New Roman"/>
                <w:color w:val="000000"/>
                <w:sz w:val="24"/>
              </w:rPr>
              <w:t>Distinguir irradiâncias global horizontal direta normal e difusa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GHI DNI e DHI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E1.04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Irradiação acumulada. </w:t>
            </w:r>
            <w:r>
              <w:rPr>
                <w:rFonts w:ascii="Times New Roman" w:hAnsi="Times New Roman"/>
                <w:color w:val="000000"/>
                <w:sz w:val="24"/>
              </w:rPr>
              <w:t>Integrar irradiância média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 em W/m²; Δt em h; H em Wh/m²; dividir por 1000 para kWh/m².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E1.05</w:t>
              <w:br/>
              <w:t>1.3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Δ</m:t>
                  </m:r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Variabilidade relativa da irradiância. </w:t>
            </w:r>
            <w:r>
              <w:rPr>
                <w:rFonts w:ascii="Times New Roman" w:hAnsi="Times New Roman"/>
                <w:color w:val="000000"/>
                <w:sz w:val="24"/>
              </w:rPr>
              <w:t>Ordenar os dias pelo passo absoluto médio da POA relativo à sua média.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Gi POA dos pares válidos ordenados do dia; resultado adimensional.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E1.06</w:t>
              <w:br/>
              <w:t>1.4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C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r>
                <w:rPr>
                  <w:rFonts w:ascii="Cambria Math" w:hAnsi="Cambria Math"/>
                  <w:sz w:val="26"/>
                </w:rPr>
                <m:t> 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Cobertura dos dados. </w:t>
            </w:r>
            <w:r>
              <w:rPr>
                <w:rFonts w:ascii="Times New Roman" w:hAnsi="Times New Roman"/>
                <w:color w:val="000000"/>
                <w:sz w:val="24"/>
              </w:rPr>
              <w:t>Informar a proporção de intervalos válidos frente aos esperados.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Npares e Nesperados na mesma janela; C em %.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R01, R02, R21, R22, R23, R25, R26</w:t>
            </w:r>
          </w:p>
        </w:tc>
      </w:tr>
    </w:tbl>
    <w:p>
      <w:r>
        <w:t>Os ângulos são calculados por SPA no meio dos intervalos. As componentes locais GHI DNI e DHI são reconstruídas na exploração inversa. A variabilidade usa os pares disponíveis de cada dia.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As temperaturas são expressas em °C; diferenças de temperatura também podem ser expressas em K. Os ângulos devem seguir uma convenção única de azimute.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src/projeto_fv.py::geometry  E1.01, E1.02</w:t>
      </w:r>
    </w:p>
    <w:p>
      <w:r>
        <w:t>docs/secoes_capitulo.json::1.2  E1.03</w:t>
      </w:r>
    </w:p>
    <w:p>
      <w:r>
        <w:t>src/refinamento_fv.py::analytics  E1.04, E1.05, E1.06</w:t>
      </w:r>
    </w:p>
    <w:p>
      <w:r>
        <w:t>O núcleo N foi conferido nas 19 subseções do notebook e na matriz do capítulo da revisão 17ffe0eeb7d7. A fórmula repetida em 2.1 e 3.2 recebeu um só ID. Conversões de unidade, máscaras de qualidade e algoritmos internos de SPA, CEC e Perez–Driesse permanecem descritos no código e nas referências, sem numeração editorial adicional.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p>
      <w:r>
        <w:t>Os códigos R identificam as fontes já catalogadas no projeto. As equações de apoio foram transcritas do código; para a redação científica, citar a fonte metodológica correspondente e explicitar as hipóteses do estudo.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1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