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Calibri" w:hAnsi="Calibri"/>
          <w:b/>
          <w:color w:val="1B365D"/>
          <w:sz w:val="44"/>
        </w:rPr>
        <w:t>Proyecto Final: Predicción de Churn en Clientes de Telecomunicaciones</w:t>
      </w:r>
    </w:p>
    <w:p>
      <w:pPr>
        <w:spacing w:before="0" w:after="360"/>
        <w:jc w:val="center"/>
      </w:pPr>
      <w:r>
        <w:rPr>
          <w:rFonts w:ascii="Calibri" w:hAnsi="Calibri"/>
          <w:i/>
          <w:color w:val="2B5B84"/>
          <w:sz w:val="26"/>
        </w:rPr>
        <w:t>Modelo de Clasificación Supervisada y Explicabilidad para la Retención Proactiva de Clientes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rPr>
          <w:tblHeader/>
          <w:cantSplit/>
        </w:trP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8"/>
              </w:rPr>
              <w:t>Campo / Dimensión</w:t>
            </w:r>
          </w:p>
        </w:tc>
        <w:tc>
          <w:tcPr>
            <w:tcW w:type="dxa" w:w="6192"/>
            <w:shd w:fill="1B365D"/>
            <w:tcMar>
              <w:top w:w="100" w:type="dxa"/>
              <w:bottom w:w="100" w:type="dxa"/>
              <w:left w:w="120" w:type="dxa"/>
              <w:right w:w="120" w:type="dxa"/>
            </w:tcMar>
          </w:tcPr>
          <w:p>
            <w:pPr>
              <w:spacing w:before="0" w:after="0"/>
              <w:jc w:val="left"/>
            </w:pPr>
            <w:r>
              <w:rPr>
                <w:rFonts w:ascii="Calibri" w:hAnsi="Calibri"/>
                <w:b/>
                <w:color w:val="FFFFFF"/>
                <w:sz w:val="18"/>
              </w:rPr>
              <w:t>Detalle Institucional y de Proyecto</w:t>
            </w:r>
          </w:p>
        </w:tc>
      </w:tr>
      <w:tr>
        <w:trPr>
          <w:cantSplit/>
        </w:trPr>
        <w:tc>
          <w:tcPr>
            <w:tcW w:type="dxa" w:w="3168"/>
            <w:shd w:fill="FFFFFF"/>
            <w:tcMar>
              <w:top w:w="80" w:type="dxa"/>
              <w:bottom w:w="80" w:type="dxa"/>
              <w:left w:w="120" w:type="dxa"/>
              <w:right w:w="120" w:type="dxa"/>
            </w:tcMar>
          </w:tcPr>
          <w:p>
            <w:pPr>
              <w:spacing w:before="0" w:after="0"/>
              <w:jc w:val="left"/>
            </w:pPr>
            <w:r>
              <w:rPr>
                <w:rFonts w:ascii="Calibri" w:hAnsi="Calibri"/>
                <w:color w:val="1F2937"/>
                <w:sz w:val="17"/>
              </w:rPr>
              <w:t>Instancia de Evaluación</w:t>
            </w:r>
          </w:p>
        </w:tc>
        <w:tc>
          <w:tcPr>
            <w:tcW w:type="dxa" w:w="6192"/>
            <w:shd w:fill="FFFFFF"/>
            <w:tcMar>
              <w:top w:w="80" w:type="dxa"/>
              <w:bottom w:w="80" w:type="dxa"/>
              <w:left w:w="120" w:type="dxa"/>
              <w:right w:w="120" w:type="dxa"/>
            </w:tcMar>
          </w:tcPr>
          <w:p>
            <w:pPr>
              <w:spacing w:before="0" w:after="0"/>
              <w:jc w:val="left"/>
            </w:pPr>
            <w:r>
              <w:rPr>
                <w:rFonts w:ascii="Calibri" w:hAnsi="Calibri"/>
                <w:color w:val="1F2937"/>
                <w:sz w:val="17"/>
              </w:rPr>
              <w:t>Entrega Final de Proyecto de Machine Learning</w:t>
            </w:r>
          </w:p>
        </w:tc>
      </w:tr>
      <w:tr>
        <w:trPr>
          <w:cantSplit/>
        </w:trPr>
        <w:tc>
          <w:tcPr>
            <w:tcW w:type="dxa" w:w="3168"/>
            <w:shd w:fill="F8FAFC"/>
            <w:tcMar>
              <w:top w:w="80" w:type="dxa"/>
              <w:bottom w:w="80" w:type="dxa"/>
              <w:left w:w="120" w:type="dxa"/>
              <w:right w:w="120" w:type="dxa"/>
            </w:tcMar>
          </w:tcPr>
          <w:p>
            <w:pPr>
              <w:spacing w:before="0" w:after="0"/>
              <w:jc w:val="left"/>
            </w:pPr>
            <w:r>
              <w:rPr>
                <w:rFonts w:ascii="Calibri" w:hAnsi="Calibri"/>
                <w:color w:val="1F2937"/>
                <w:sz w:val="17"/>
              </w:rPr>
              <w:t>Autor Principal</w:t>
            </w:r>
          </w:p>
        </w:tc>
        <w:tc>
          <w:tcPr>
            <w:tcW w:type="dxa" w:w="6192"/>
            <w:shd w:fill="F8FAFC"/>
            <w:tcMar>
              <w:top w:w="80" w:type="dxa"/>
              <w:bottom w:w="80" w:type="dxa"/>
              <w:left w:w="120" w:type="dxa"/>
              <w:right w:w="120" w:type="dxa"/>
            </w:tcMar>
          </w:tcPr>
          <w:p>
            <w:pPr>
              <w:spacing w:before="0" w:after="0"/>
              <w:jc w:val="left"/>
            </w:pPr>
            <w:r>
              <w:rPr>
                <w:rFonts w:ascii="Calibri" w:hAnsi="Calibri"/>
                <w:color w:val="1F2937"/>
                <w:sz w:val="17"/>
              </w:rPr>
              <w:t>Samuel</w:t>
            </w:r>
          </w:p>
        </w:tc>
      </w:tr>
      <w:tr>
        <w:trPr>
          <w:cantSplit/>
        </w:trPr>
        <w:tc>
          <w:tcPr>
            <w:tcW w:type="dxa" w:w="3168"/>
            <w:shd w:fill="FFFFFF"/>
            <w:tcMar>
              <w:top w:w="80" w:type="dxa"/>
              <w:bottom w:w="80" w:type="dxa"/>
              <w:left w:w="120" w:type="dxa"/>
              <w:right w:w="120" w:type="dxa"/>
            </w:tcMar>
          </w:tcPr>
          <w:p>
            <w:pPr>
              <w:spacing w:before="0" w:after="0"/>
              <w:jc w:val="left"/>
            </w:pPr>
            <w:r>
              <w:rPr>
                <w:rFonts w:ascii="Calibri" w:hAnsi="Calibri"/>
                <w:color w:val="1F2937"/>
                <w:sz w:val="17"/>
              </w:rPr>
              <w:t>Programa Académico</w:t>
            </w:r>
          </w:p>
        </w:tc>
        <w:tc>
          <w:tcPr>
            <w:tcW w:type="dxa" w:w="6192"/>
            <w:shd w:fill="FFFFFF"/>
            <w:tcMar>
              <w:top w:w="80" w:type="dxa"/>
              <w:bottom w:w="80" w:type="dxa"/>
              <w:left w:w="120" w:type="dxa"/>
              <w:right w:w="120" w:type="dxa"/>
            </w:tcMar>
          </w:tcPr>
          <w:p>
            <w:pPr>
              <w:spacing w:before="0" w:after="0"/>
              <w:jc w:val="left"/>
            </w:pPr>
            <w:r>
              <w:rPr>
                <w:rFonts w:ascii="Calibri" w:hAnsi="Calibri"/>
                <w:color w:val="1F2937"/>
                <w:sz w:val="17"/>
              </w:rPr>
              <w:t>Especialización / Carrera en Data Science &amp; Machine Learning</w:t>
            </w:r>
          </w:p>
        </w:tc>
      </w:tr>
      <w:tr>
        <w:trPr>
          <w:cantSplit/>
        </w:trPr>
        <w:tc>
          <w:tcPr>
            <w:tcW w:type="dxa" w:w="3168"/>
            <w:shd w:fill="F8FAFC"/>
            <w:tcMar>
              <w:top w:w="80" w:type="dxa"/>
              <w:bottom w:w="80" w:type="dxa"/>
              <w:left w:w="120" w:type="dxa"/>
              <w:right w:w="120" w:type="dxa"/>
            </w:tcMar>
          </w:tcPr>
          <w:p>
            <w:pPr>
              <w:spacing w:before="0" w:after="0"/>
              <w:jc w:val="left"/>
            </w:pPr>
            <w:r>
              <w:rPr>
                <w:rFonts w:ascii="Calibri" w:hAnsi="Calibri"/>
                <w:color w:val="1F2937"/>
                <w:sz w:val="17"/>
              </w:rPr>
              <w:t>Fecha de Finalización</w:t>
            </w:r>
          </w:p>
        </w:tc>
        <w:tc>
          <w:tcPr>
            <w:tcW w:type="dxa" w:w="6192"/>
            <w:shd w:fill="F8FAFC"/>
            <w:tcMar>
              <w:top w:w="80" w:type="dxa"/>
              <w:bottom w:w="80" w:type="dxa"/>
              <w:left w:w="120" w:type="dxa"/>
              <w:right w:w="120" w:type="dxa"/>
            </w:tcMar>
          </w:tcPr>
          <w:p>
            <w:pPr>
              <w:spacing w:before="0" w:after="0"/>
              <w:jc w:val="left"/>
            </w:pPr>
            <w:r>
              <w:rPr>
                <w:rFonts w:ascii="Calibri" w:hAnsi="Calibri"/>
                <w:color w:val="1F2937"/>
                <w:sz w:val="17"/>
              </w:rPr>
              <w:t>Septiembre 2026</w:t>
            </w:r>
          </w:p>
        </w:tc>
      </w:tr>
      <w:tr>
        <w:trPr>
          <w:cantSplit/>
        </w:trPr>
        <w:tc>
          <w:tcPr>
            <w:tcW w:type="dxa" w:w="3168"/>
            <w:shd w:fill="FFFFFF"/>
            <w:tcMar>
              <w:top w:w="80" w:type="dxa"/>
              <w:bottom w:w="80" w:type="dxa"/>
              <w:left w:w="120" w:type="dxa"/>
              <w:right w:w="120" w:type="dxa"/>
            </w:tcMar>
          </w:tcPr>
          <w:p>
            <w:pPr>
              <w:spacing w:before="0" w:after="0"/>
              <w:jc w:val="left"/>
            </w:pPr>
            <w:r>
              <w:rPr>
                <w:rFonts w:ascii="Calibri" w:hAnsi="Calibri"/>
                <w:color w:val="1F2937"/>
                <w:sz w:val="17"/>
              </w:rPr>
              <w:t>Dataset Analizado</w:t>
            </w:r>
          </w:p>
        </w:tc>
        <w:tc>
          <w:tcPr>
            <w:tcW w:type="dxa" w:w="6192"/>
            <w:shd w:fill="FFFFFF"/>
            <w:tcMar>
              <w:top w:w="80" w:type="dxa"/>
              <w:bottom w:w="80" w:type="dxa"/>
              <w:left w:w="120" w:type="dxa"/>
              <w:right w:w="120" w:type="dxa"/>
            </w:tcMar>
          </w:tcPr>
          <w:p>
            <w:pPr>
              <w:spacing w:before="0" w:after="0"/>
              <w:jc w:val="left"/>
            </w:pPr>
            <w:r>
              <w:rPr>
                <w:rFonts w:ascii="Calibri" w:hAnsi="Calibri"/>
                <w:color w:val="1F2937"/>
                <w:sz w:val="17"/>
              </w:rPr>
              <w:t>Telco Customer Churn (7.043 observaciones, 21 variables originales)</w:t>
            </w:r>
          </w:p>
        </w:tc>
      </w:tr>
      <w:tr>
        <w:trPr>
          <w:cantSplit/>
        </w:trPr>
        <w:tc>
          <w:tcPr>
            <w:tcW w:type="dxa" w:w="3168"/>
            <w:shd w:fill="F8FAFC"/>
            <w:tcMar>
              <w:top w:w="80" w:type="dxa"/>
              <w:bottom w:w="80" w:type="dxa"/>
              <w:left w:w="120" w:type="dxa"/>
              <w:right w:w="120" w:type="dxa"/>
            </w:tcMar>
          </w:tcPr>
          <w:p>
            <w:pPr>
              <w:spacing w:before="0" w:after="0"/>
              <w:jc w:val="left"/>
            </w:pPr>
            <w:r>
              <w:rPr>
                <w:rFonts w:ascii="Calibri" w:hAnsi="Calibri"/>
                <w:color w:val="1F2937"/>
                <w:sz w:val="17"/>
              </w:rPr>
              <w:t>Repositorio Oficial</w:t>
            </w:r>
          </w:p>
        </w:tc>
        <w:tc>
          <w:tcPr>
            <w:tcW w:type="dxa" w:w="6192"/>
            <w:shd w:fill="F8FAFC"/>
            <w:tcMar>
              <w:top w:w="80" w:type="dxa"/>
              <w:bottom w:w="80" w:type="dxa"/>
              <w:left w:w="120" w:type="dxa"/>
              <w:right w:w="120" w:type="dxa"/>
            </w:tcMar>
          </w:tcPr>
          <w:p>
            <w:pPr>
              <w:spacing w:before="0" w:after="0"/>
              <w:jc w:val="left"/>
            </w:pPr>
            <w:r>
              <w:rPr>
                <w:rFonts w:ascii="Calibri" w:hAnsi="Calibri"/>
                <w:color w:val="1F2937"/>
                <w:sz w:val="17"/>
              </w:rPr>
              <w:t>https://github.com/samuelbustosp/telco-customer-churn-ml</w:t>
            </w:r>
          </w:p>
        </w:tc>
      </w:tr>
      <w:tr>
        <w:trPr>
          <w:cantSplit/>
        </w:trPr>
        <w:tc>
          <w:tcPr>
            <w:tcW w:type="dxa" w:w="3168"/>
            <w:shd w:fill="FFFFFF"/>
            <w:tcMar>
              <w:top w:w="80" w:type="dxa"/>
              <w:bottom w:w="80" w:type="dxa"/>
              <w:left w:w="120" w:type="dxa"/>
              <w:right w:w="120" w:type="dxa"/>
            </w:tcMar>
          </w:tcPr>
          <w:p>
            <w:pPr>
              <w:spacing w:before="0" w:after="0"/>
              <w:jc w:val="left"/>
            </w:pPr>
            <w:r>
              <w:rPr>
                <w:rFonts w:ascii="Calibri" w:hAnsi="Calibri"/>
                <w:color w:val="1F2937"/>
                <w:sz w:val="17"/>
              </w:rPr>
              <w:t>Algoritmo Seleccionado</w:t>
            </w:r>
          </w:p>
        </w:tc>
        <w:tc>
          <w:tcPr>
            <w:tcW w:type="dxa" w:w="6192"/>
            <w:shd w:fill="FFFFFF"/>
            <w:tcMar>
              <w:top w:w="80" w:type="dxa"/>
              <w:bottom w:w="80" w:type="dxa"/>
              <w:left w:w="120" w:type="dxa"/>
              <w:right w:w="120" w:type="dxa"/>
            </w:tcMar>
          </w:tcPr>
          <w:p>
            <w:pPr>
              <w:spacing w:before="0" w:after="0"/>
              <w:jc w:val="left"/>
            </w:pPr>
            <w:r>
              <w:rPr>
                <w:rFonts w:ascii="Calibri" w:hAnsi="Calibri"/>
                <w:color w:val="1F2937"/>
                <w:sz w:val="17"/>
              </w:rPr>
              <w:t>XGBoost Classifier Optimizado con Calibración de Umbral (Threshold Tuning = 0.35)</w:t>
            </w:r>
          </w:p>
        </w:tc>
      </w:tr>
    </w:tbl>
    <w:p>
      <w:pPr>
        <w:spacing w:before="0" w:after="120"/>
      </w:pPr>
    </w:p>
    <w:p>
      <w:r>
        <w:br w:type="page"/>
      </w:r>
    </w:p>
    <w:p>
      <w:pPr>
        <w:keepNext/>
        <w:spacing w:before="320" w:after="80"/>
      </w:pPr>
      <w:r>
        <w:rPr>
          <w:rFonts w:ascii="Calibri" w:hAnsi="Calibri"/>
          <w:b/>
          <w:color w:val="1B365D"/>
          <w:sz w:val="29"/>
        </w:rPr>
        <w:t>📑 Índice General</w:t>
      </w:r>
    </w:p>
    <w:p>
      <w:pPr>
        <w:spacing w:before="0" w:after="40" w:line="276" w:lineRule="auto"/>
      </w:pPr>
      <w:r>
        <w:rPr>
          <w:rFonts w:ascii="Calibri" w:hAnsi="Calibri"/>
          <w:color w:val="1F2937"/>
          <w:sz w:val="20"/>
        </w:rPr>
        <w:t>1. Sobre Nosotros y Enfoque de Consultoría</w:t>
      </w:r>
    </w:p>
    <w:p>
      <w:pPr>
        <w:spacing w:before="0" w:after="40" w:line="276" w:lineRule="auto"/>
      </w:pPr>
      <w:r>
        <w:rPr>
          <w:rFonts w:ascii="Calibri" w:hAnsi="Calibri"/>
          <w:color w:val="1F2937"/>
          <w:sz w:val="20"/>
        </w:rPr>
        <w:t>2. Problemática a Resolver y Contexto de Negocio</w:t>
      </w:r>
    </w:p>
    <w:p>
      <w:pPr>
        <w:spacing w:before="0" w:after="40" w:line="276" w:lineRule="auto"/>
      </w:pPr>
      <w:r>
        <w:rPr>
          <w:rFonts w:ascii="Calibri" w:hAnsi="Calibri"/>
          <w:color w:val="1F2937"/>
          <w:sz w:val="20"/>
        </w:rPr>
        <w:t>3. Solución Propuesta y Métricas de Evaluación</w:t>
      </w:r>
    </w:p>
    <w:p>
      <w:pPr>
        <w:spacing w:before="0" w:after="40" w:line="276" w:lineRule="auto"/>
      </w:pPr>
      <w:r>
        <w:rPr>
          <w:rFonts w:ascii="Calibri" w:hAnsi="Calibri"/>
          <w:color w:val="1F2937"/>
          <w:sz w:val="20"/>
        </w:rPr>
        <w:t>4. Adquisición y Diccionario de Datos</w:t>
      </w:r>
    </w:p>
    <w:p>
      <w:pPr>
        <w:spacing w:before="0" w:after="40" w:line="276" w:lineRule="auto"/>
      </w:pPr>
      <w:r>
        <w:rPr>
          <w:rFonts w:ascii="Calibri" w:hAnsi="Calibri"/>
          <w:color w:val="1F2937"/>
          <w:sz w:val="20"/>
        </w:rPr>
        <w:t>5. Calidad de Datos y Data Wrangling</w:t>
      </w:r>
    </w:p>
    <w:p>
      <w:pPr>
        <w:spacing w:before="0" w:after="40" w:line="276" w:lineRule="auto"/>
      </w:pPr>
      <w:r>
        <w:rPr>
          <w:rFonts w:ascii="Calibri" w:hAnsi="Calibri"/>
          <w:color w:val="1F2937"/>
          <w:sz w:val="20"/>
        </w:rPr>
        <w:t>6. Análisis Exploratorio de Datos (EDA) y Contraste de Hipótesis</w:t>
      </w:r>
    </w:p>
    <w:p>
      <w:pPr>
        <w:spacing w:before="0" w:after="40" w:line="276" w:lineRule="auto"/>
      </w:pPr>
      <w:r>
        <w:rPr>
          <w:rFonts w:ascii="Calibri" w:hAnsi="Calibri"/>
          <w:color w:val="1F2937"/>
          <w:sz w:val="20"/>
        </w:rPr>
        <w:t>7. Preprocesamiento e Ingeniería de Atributos (Feature Engineering)</w:t>
      </w:r>
    </w:p>
    <w:p>
      <w:pPr>
        <w:spacing w:before="0" w:after="40" w:line="276" w:lineRule="auto"/>
      </w:pPr>
      <w:r>
        <w:rPr>
          <w:rFonts w:ascii="Calibri" w:hAnsi="Calibri"/>
          <w:color w:val="1F2937"/>
          <w:sz w:val="20"/>
        </w:rPr>
        <w:t>8. Modelado, Validación Cruzada y Línea Base (Baseline)</w:t>
      </w:r>
    </w:p>
    <w:p>
      <w:pPr>
        <w:spacing w:before="0" w:after="40" w:line="276" w:lineRule="auto"/>
      </w:pPr>
      <w:r>
        <w:rPr>
          <w:rFonts w:ascii="Calibri" w:hAnsi="Calibri"/>
          <w:color w:val="1F2937"/>
          <w:sz w:val="20"/>
        </w:rPr>
        <w:t>9. Optimización Sistemática de Hiperparámetros y Control de Sobreajuste</w:t>
      </w:r>
    </w:p>
    <w:p>
      <w:pPr>
        <w:spacing w:before="0" w:after="40" w:line="276" w:lineRule="auto"/>
      </w:pPr>
      <w:r>
        <w:rPr>
          <w:rFonts w:ascii="Calibri" w:hAnsi="Calibri"/>
          <w:color w:val="1F2937"/>
          <w:sz w:val="20"/>
        </w:rPr>
        <w:t>10. Evaluación en Conjunto de Test Retenido y Calibración de Umbral (Threshold Tuning)</w:t>
      </w:r>
    </w:p>
    <w:p>
      <w:pPr>
        <w:spacing w:before="0" w:after="40" w:line="276" w:lineRule="auto"/>
      </w:pPr>
      <w:r>
        <w:rPr>
          <w:rFonts w:ascii="Calibri" w:hAnsi="Calibri"/>
          <w:color w:val="1F2937"/>
          <w:sz w:val="20"/>
        </w:rPr>
        <w:t>11. Interpretabilidad y Explicabilidad con SHAP (Global y Local)</w:t>
      </w:r>
    </w:p>
    <w:p>
      <w:pPr>
        <w:spacing w:before="0" w:after="40" w:line="276" w:lineRule="auto"/>
      </w:pPr>
      <w:r>
        <w:rPr>
          <w:rFonts w:ascii="Calibri" w:hAnsi="Calibri"/>
          <w:color w:val="1F2937"/>
          <w:sz w:val="20"/>
        </w:rPr>
        <w:t>12. Conclusiones Ejecutivas y Plan de Acción de Retención (4 Pilares)</w:t>
      </w:r>
    </w:p>
    <w:p>
      <w:pPr>
        <w:spacing w:before="0" w:after="40" w:line="276" w:lineRule="auto"/>
      </w:pPr>
      <w:r>
        <w:rPr>
          <w:rFonts w:ascii="Calibri" w:hAnsi="Calibri"/>
          <w:color w:val="1F2937"/>
          <w:sz w:val="20"/>
        </w:rPr>
        <w:t>13. Limitaciones Técnicas y Roadmap Futuro</w:t>
      </w:r>
    </w:p>
    <w:p>
      <w:pPr>
        <w:spacing w:after="240"/>
      </w:pPr>
    </w:p>
    <w:p>
      <w:pPr>
        <w:keepNext/>
        <w:spacing w:before="320" w:after="80"/>
      </w:pPr>
      <w:r>
        <w:rPr>
          <w:rFonts w:ascii="Calibri" w:hAnsi="Calibri"/>
          <w:b/>
          <w:color w:val="1B365D"/>
          <w:sz w:val="29"/>
        </w:rPr>
        <w:t>1. Sobre Nosotros y Enfoque de Consultoría</w:t>
      </w:r>
    </w:p>
    <w:p>
      <w:pPr>
        <w:spacing w:before="0" w:after="80" w:line="276" w:lineRule="auto"/>
      </w:pPr>
      <w:r>
        <w:rPr>
          <w:rFonts w:ascii="Calibri" w:hAnsi="Calibri"/>
          <w:color w:val="1F2937"/>
          <w:sz w:val="20"/>
        </w:rPr>
        <w:t>Somos una consultora analítica orientada a transformar datos operativos y de comportamiento en ventajas competitivas cuantificables. Desarrollamos soluciones integrales de Ciencia de Datos y Machine Learning (End-to-End), abarcando desde la auditoría inicial de los datos y la formulación del problema de negocio, hasta el desarrollo de pipelines de modelado predictivo, calibración financiera de umbrales y traducción de la explicabilidad del modelo hacia planes de acción comercial.</w:t>
      </w:r>
    </w:p>
    <w:p>
      <w:pPr>
        <w:spacing w:before="0" w:after="80" w:line="276" w:lineRule="auto"/>
      </w:pPr>
      <w:r>
        <w:rPr>
          <w:rFonts w:ascii="Calibri" w:hAnsi="Calibri"/>
          <w:color w:val="1F2937"/>
          <w:sz w:val="20"/>
        </w:rPr>
        <w:t>En el presente proyecto abordamos el desafío de la fuga de clientes en la industria de telecomunicaciones, diseñando un sistema de alerta temprana que optimiza el balance entre costos de retención y pérdida de ingresos recurrentes.</w:t>
      </w:r>
    </w:p>
    <w:p>
      <w:pPr>
        <w:keepNext/>
        <w:spacing w:before="320" w:after="80"/>
      </w:pPr>
      <w:r>
        <w:rPr>
          <w:rFonts w:ascii="Calibri" w:hAnsi="Calibri"/>
          <w:b/>
          <w:color w:val="1B365D"/>
          <w:sz w:val="29"/>
        </w:rPr>
        <w:t>2. Problemática a Resolver y Contexto de Negocio</w:t>
      </w:r>
    </w:p>
    <w:p>
      <w:pPr>
        <w:spacing w:before="0" w:after="80" w:line="276" w:lineRule="auto"/>
      </w:pPr>
      <w:r>
        <w:rPr>
          <w:rFonts w:ascii="Calibri" w:hAnsi="Calibri"/>
          <w:color w:val="1F2937"/>
          <w:sz w:val="20"/>
        </w:rPr>
        <w:t>El sector de telecomunicaciones se caracteriza por una intensa competencia, bajas barreras de cambio para los usuarios y una saturación general del mercado. En este entorno, el Costo de Adquisición de Clientes (CAC) suele ser entre 5 y 10 veces superior al costo de fidelizar y retener a un cliente existente.</w:t>
      </w:r>
    </w:p>
    <w:p>
      <w:pPr>
        <w:spacing w:before="0" w:after="80" w:line="276" w:lineRule="auto"/>
      </w:pPr>
      <w:r>
        <w:rPr>
          <w:rFonts w:ascii="Calibri" w:hAnsi="Calibri"/>
          <w:color w:val="1F2937"/>
          <w:sz w:val="20"/>
        </w:rPr>
        <w:t>Cuando un cliente cancela sus servicios o migra hacia la competencia (Customer Churn), la empresa no sólo pierde el flujo de ingresos futuros proyectados (Customer Lifetime Value - CLV), sino que además amortiza de manera ineficiente las inversiones previas en marketing, instalación de infraestructura y comercialización.</w:t>
      </w:r>
    </w:p>
    <w:p>
      <w:pPr>
        <w:keepNext/>
        <w:spacing w:before="220" w:after="60"/>
      </w:pPr>
      <w:r>
        <w:rPr>
          <w:rFonts w:ascii="Calibri" w:hAnsi="Calibri"/>
          <w:b/>
          <w:color w:val="2B5B84"/>
          <w:sz w:val="24"/>
        </w:rPr>
        <w:t>El Dilema del Negocio: Falsos Negativos vs. Falsos Positivos</w:t>
      </w:r>
    </w:p>
    <w:p>
      <w:pPr>
        <w:spacing w:before="0" w:after="80" w:line="276" w:lineRule="auto"/>
      </w:pPr>
      <w:r>
        <w:rPr>
          <w:rFonts w:ascii="Calibri" w:hAnsi="Calibri"/>
          <w:color w:val="1F2937"/>
          <w:sz w:val="20"/>
        </w:rPr>
        <w:t>Al construir un modelo predictivo para la toma de decisiones, la empresa enfrenta dos tipos de errores con impactos económicos asimétricos:</w:t>
      </w:r>
    </w:p>
    <w:p>
      <w:pPr>
        <w:pStyle w:val="ListBullet"/>
        <w:spacing w:before="0" w:after="50" w:line="276" w:lineRule="auto"/>
        <w:ind w:left="360"/>
      </w:pPr>
      <w:r>
        <w:rPr>
          <w:rFonts w:ascii="Calibri" w:hAnsi="Calibri"/>
          <w:b/>
          <w:color w:val="1F2937"/>
          <w:sz w:val="20"/>
        </w:rPr>
        <w:t xml:space="preserve">Falso Negativo (FN): </w:t>
      </w:r>
      <w:r>
        <w:rPr>
          <w:rFonts w:ascii="Calibri" w:hAnsi="Calibri"/>
          <w:color w:val="1F2937"/>
          <w:sz w:val="20"/>
        </w:rPr>
        <w:t>El modelo clasifica a un cliente como 'Retenido', pero en realidad abandona la compañía. Impacto: Pérdida total e irreversible de la facturación mensual del cliente (Costo Alto).</w:t>
      </w:r>
    </w:p>
    <w:p>
      <w:pPr>
        <w:pStyle w:val="ListBullet"/>
        <w:spacing w:before="0" w:after="50" w:line="276" w:lineRule="auto"/>
        <w:ind w:left="360"/>
      </w:pPr>
      <w:r>
        <w:rPr>
          <w:rFonts w:ascii="Calibri" w:hAnsi="Calibri"/>
          <w:b/>
          <w:color w:val="1F2937"/>
          <w:sz w:val="20"/>
        </w:rPr>
        <w:t xml:space="preserve">Falso Positivo (FP): </w:t>
      </w:r>
      <w:r>
        <w:rPr>
          <w:rFonts w:ascii="Calibri" w:hAnsi="Calibri"/>
          <w:color w:val="1F2937"/>
          <w:sz w:val="20"/>
        </w:rPr>
        <w:t>El modelo clasifica a un cliente como 'En Fuga', pero no tenía intención de irse. Impacto: Costo operativo de contacto comercial o bonificación preventiva de fidelización (Costo Bajo/Moderado).</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36" w:space="0" w:color="1B365D"/>
              <w:bottom w:val="none"/>
              <w:right w:val="none"/>
            </w:tcBorders>
            <w:tcMar>
              <w:top w:w="140" w:type="dxa"/>
              <w:bottom w:w="140" w:type="dxa"/>
              <w:left w:w="200" w:type="dxa"/>
              <w:right w:w="200" w:type="dxa"/>
            </w:tcMar>
          </w:tcPr>
          <w:p>
            <w:pPr>
              <w:spacing w:before="0" w:after="40" w:line="276" w:lineRule="auto"/>
            </w:pPr>
            <w:r>
              <w:rPr>
                <w:rFonts w:ascii="Calibri" w:hAnsi="Calibri"/>
                <w:b/>
                <w:color w:val="1B365D"/>
                <w:sz w:val="20"/>
              </w:rPr>
              <w:t>📌 Criterio de Negocio Fundamental</w:t>
              <w:br/>
            </w:r>
            <w:r>
              <w:rPr>
                <w:rFonts w:ascii="Calibri" w:hAnsi="Calibri"/>
                <w:i/>
                <w:color w:val="1E293B"/>
                <w:sz w:val="19"/>
              </w:rPr>
              <w:t>Resulta sustancialmente más costoso perder un cliente por no haberlo detectado a tiempo (FN), que incurrir en una gestión comercial de fidelización preventiva sobre un cliente leal (FP). Por tanto, la prioridad del modelo consiste en maximizar la captura de clientes en riesgo (Recall / Sensibilidad) manteniendo controlada la tasa de falsas alarmas (Precision).</w:t>
            </w:r>
          </w:p>
        </w:tc>
      </w:tr>
    </w:tbl>
    <w:p>
      <w:pPr>
        <w:spacing w:before="0" w:after="80"/>
      </w:pPr>
    </w:p>
    <w:p>
      <w:pPr>
        <w:keepNext/>
        <w:spacing w:before="220" w:after="60"/>
      </w:pPr>
      <w:r>
        <w:rPr>
          <w:rFonts w:ascii="Calibri" w:hAnsi="Calibri"/>
          <w:b/>
          <w:color w:val="2B5B84"/>
          <w:sz w:val="24"/>
        </w:rPr>
        <w:t>Preguntas Clave del Proyecto</w:t>
      </w:r>
    </w:p>
    <w:p>
      <w:pPr>
        <w:pStyle w:val="ListBullet"/>
        <w:spacing w:before="0" w:after="50" w:line="276" w:lineRule="auto"/>
        <w:ind w:left="360"/>
      </w:pPr>
      <w:r>
        <w:rPr>
          <w:rFonts w:ascii="Calibri" w:hAnsi="Calibri"/>
          <w:b/>
          <w:color w:val="1F2937"/>
          <w:sz w:val="20"/>
        </w:rPr>
        <w:t xml:space="preserve">1. Pregunta de Negocio: </w:t>
      </w:r>
      <w:r>
        <w:rPr>
          <w:rFonts w:ascii="Calibri" w:hAnsi="Calibri"/>
          <w:color w:val="1F2937"/>
          <w:sz w:val="20"/>
        </w:rPr>
        <w:t>¿Podemos anticipar con precisión qué clientes presentan una alta propensión a cancelar sus servicios, identificando los factores contractuales y de servicio que motivan su partida antes de que formalicen la baja?</w:t>
      </w:r>
    </w:p>
    <w:p>
      <w:pPr>
        <w:pStyle w:val="ListBullet"/>
        <w:spacing w:before="0" w:after="50" w:line="276" w:lineRule="auto"/>
        <w:ind w:left="360"/>
      </w:pPr>
      <w:r>
        <w:rPr>
          <w:rFonts w:ascii="Calibri" w:hAnsi="Calibri"/>
          <w:b/>
          <w:color w:val="1F2937"/>
          <w:sz w:val="20"/>
        </w:rPr>
        <w:t xml:space="preserve">2. Pregunta Técnica: </w:t>
      </w:r>
      <w:r>
        <w:rPr>
          <w:rFonts w:ascii="Calibri" w:hAnsi="Calibri"/>
          <w:color w:val="1F2937"/>
          <w:sz w:val="20"/>
        </w:rPr>
        <w:t>¿Qué algoritmo y esquema de preprocesamiento maximiza el área bajo la curva ROC y el Recall sobre la clase minoritaria, garantizando explicabilidad transparente para el equipo comercial?</w:t>
      </w:r>
    </w:p>
    <w:p>
      <w:pPr>
        <w:keepNext/>
        <w:spacing w:before="320" w:after="80"/>
      </w:pPr>
      <w:r>
        <w:rPr>
          <w:rFonts w:ascii="Calibri" w:hAnsi="Calibri"/>
          <w:b/>
          <w:color w:val="1B365D"/>
          <w:sz w:val="29"/>
        </w:rPr>
        <w:t>3. Solución Propuesta y Métricas de Evaluación</w:t>
      </w:r>
    </w:p>
    <w:p>
      <w:pPr>
        <w:spacing w:before="0" w:after="80" w:line="276" w:lineRule="auto"/>
      </w:pPr>
      <w:r>
        <w:rPr>
          <w:rFonts w:ascii="Calibri" w:hAnsi="Calibri"/>
          <w:color w:val="1F2937"/>
          <w:sz w:val="20"/>
        </w:rPr>
        <w:t>Se plantea el desarrollo de un pipeline de aprendizaje supervisado de clasificación binaria, donde la variable objetivo es:</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36" w:space="0" w:color="3B82F6"/>
              <w:bottom w:val="none"/>
              <w:right w:val="none"/>
            </w:tcBorders>
            <w:tcMar>
              <w:top w:w="100" w:type="dxa"/>
              <w:bottom w:w="100" w:type="dxa"/>
              <w:left w:w="180" w:type="dxa"/>
              <w:right w:w="180" w:type="dxa"/>
            </w:tcMar>
          </w:tcPr>
          <w:p>
            <w:pPr>
              <w:spacing w:before="0" w:after="40"/>
              <w:jc w:val="center"/>
            </w:pPr>
            <w:r>
              <w:rPr>
                <w:rFonts w:ascii="Cambria Math" w:hAnsi="Cambria Math"/>
                <w:b/>
                <w:color w:val="1B365D"/>
                <w:sz w:val="21"/>
              </w:rPr>
              <w:t>Churn = 1 (si el cliente abandona / Yes)  |  Churn = 0 (si el cliente continúa activo / No)</w:t>
            </w:r>
          </w:p>
        </w:tc>
      </w:tr>
    </w:tbl>
    <w:p>
      <w:pPr>
        <w:spacing w:before="0" w:after="60"/>
      </w:pPr>
    </w:p>
    <w:p>
      <w:pPr>
        <w:keepNext/>
        <w:spacing w:before="220" w:after="60"/>
      </w:pPr>
      <w:r>
        <w:rPr>
          <w:rFonts w:ascii="Calibri" w:hAnsi="Calibri"/>
          <w:b/>
          <w:color w:val="2B5B84"/>
          <w:sz w:val="24"/>
        </w:rPr>
        <w:t>Descarte Metodológico del Accuracy</w:t>
      </w:r>
    </w:p>
    <w:p>
      <w:pPr>
        <w:spacing w:before="0" w:after="80" w:line="276" w:lineRule="auto"/>
      </w:pPr>
      <w:r>
        <w:rPr>
          <w:rFonts w:ascii="Calibri" w:hAnsi="Calibri"/>
          <w:color w:val="1F2937"/>
          <w:sz w:val="20"/>
        </w:rPr>
        <w:t>En el dataset histórico, el 73,46% de los clientes son activos y el 26,54% corresponden a casos de Churn. Debido a este desbalance de clases (~2,77 a 1), la métrica tradicional de Accuracy (Exactitud) queda formalmente descartada como criterio rector. Un modelo ingenuo que predijera sistemáticamente 'No Churn' obtendría un 73,46% de exactitud sin detectar a un solo cliente en fuga, resultando completamente inútil para la organización.</w:t>
      </w:r>
    </w:p>
    <w:p>
      <w:pPr>
        <w:keepNext/>
        <w:spacing w:before="220" w:after="60"/>
      </w:pPr>
      <w:r>
        <w:rPr>
          <w:rFonts w:ascii="Calibri" w:hAnsi="Calibri"/>
          <w:b/>
          <w:color w:val="2B5B84"/>
          <w:sz w:val="24"/>
        </w:rPr>
        <w:t>Formulación de Métricas Clave</w:t>
      </w:r>
    </w:p>
    <w:p>
      <w:pPr>
        <w:pStyle w:val="ListBullet"/>
        <w:spacing w:before="0" w:after="50" w:line="276" w:lineRule="auto"/>
        <w:ind w:left="360"/>
      </w:pPr>
      <w:r>
        <w:rPr>
          <w:rFonts w:ascii="Calibri" w:hAnsi="Calibri"/>
          <w:b/>
          <w:color w:val="1F2937"/>
          <w:sz w:val="20"/>
        </w:rPr>
        <w:t xml:space="preserve">Recall (Sensibilidad en Clase 1): </w:t>
      </w:r>
      <w:r>
        <w:rPr>
          <w:rFonts w:ascii="Calibri" w:hAnsi="Calibri"/>
          <w:color w:val="1F2937"/>
          <w:sz w:val="20"/>
        </w:rPr>
        <w:t>Mide la capacidad de captura de los casos de fuga reales: Recall = TP / (TP + FN).</w:t>
      </w:r>
    </w:p>
    <w:p>
      <w:pPr>
        <w:pStyle w:val="ListBullet"/>
        <w:spacing w:before="0" w:after="50" w:line="276" w:lineRule="auto"/>
        <w:ind w:left="360"/>
      </w:pPr>
      <w:r>
        <w:rPr>
          <w:rFonts w:ascii="Calibri" w:hAnsi="Calibri"/>
          <w:b/>
          <w:color w:val="1F2937"/>
          <w:sz w:val="20"/>
        </w:rPr>
        <w:t xml:space="preserve">Precision (Valor Predictivo Positivo): </w:t>
      </w:r>
      <w:r>
        <w:rPr>
          <w:rFonts w:ascii="Calibri" w:hAnsi="Calibri"/>
          <w:color w:val="1F2937"/>
          <w:sz w:val="20"/>
        </w:rPr>
        <w:t>Mide la confiabilidad de las alertas emitidas: Precision = TP / (TP + FP).</w:t>
      </w:r>
    </w:p>
    <w:p>
      <w:pPr>
        <w:pStyle w:val="ListBullet"/>
        <w:spacing w:before="0" w:after="50" w:line="276" w:lineRule="auto"/>
        <w:ind w:left="360"/>
      </w:pPr>
      <w:r>
        <w:rPr>
          <w:rFonts w:ascii="Calibri" w:hAnsi="Calibri"/>
          <w:b/>
          <w:color w:val="1F2937"/>
          <w:sz w:val="20"/>
        </w:rPr>
        <w:t xml:space="preserve">F1-Score: </w:t>
      </w:r>
      <w:r>
        <w:rPr>
          <w:rFonts w:ascii="Calibri" w:hAnsi="Calibri"/>
          <w:color w:val="1F2937"/>
          <w:sz w:val="20"/>
        </w:rPr>
        <w:t>Media armónica entre Precision y Recall: F1 = 2 · (Precision · Recall) / (Precision + Recall).</w:t>
      </w:r>
    </w:p>
    <w:p>
      <w:pPr>
        <w:pStyle w:val="ListBullet"/>
        <w:spacing w:before="0" w:after="50" w:line="276" w:lineRule="auto"/>
        <w:ind w:left="360"/>
      </w:pPr>
      <w:r>
        <w:rPr>
          <w:rFonts w:ascii="Calibri" w:hAnsi="Calibri"/>
          <w:b/>
          <w:color w:val="1F2937"/>
          <w:sz w:val="20"/>
        </w:rPr>
        <w:t xml:space="preserve">ROC-AUC: </w:t>
      </w:r>
      <w:r>
        <w:rPr>
          <w:rFonts w:ascii="Calibri" w:hAnsi="Calibri"/>
          <w:color w:val="1F2937"/>
          <w:sz w:val="20"/>
        </w:rPr>
        <w:t>Evalúa la capacidad intrínseca del clasificador para ordenar a los clientes de menor a mayor riesgo a lo largo de todos los umbrales posibles.</w:t>
      </w:r>
    </w:p>
    <w:p>
      <w:pPr>
        <w:pStyle w:val="ListBullet"/>
        <w:spacing w:before="0" w:after="50" w:line="276" w:lineRule="auto"/>
        <w:ind w:left="360"/>
      </w:pPr>
      <w:r>
        <w:rPr>
          <w:rFonts w:ascii="Calibri" w:hAnsi="Calibri"/>
          <w:b/>
          <w:color w:val="1F2937"/>
          <w:sz w:val="20"/>
        </w:rPr>
        <w:t xml:space="preserve">PR-AUC: </w:t>
      </w:r>
      <w:r>
        <w:rPr>
          <w:rFonts w:ascii="Calibri" w:hAnsi="Calibri"/>
          <w:color w:val="1F2937"/>
          <w:sz w:val="20"/>
        </w:rPr>
        <w:t>Evalúa la efectividad del modelo en el espacio de la clase minoritaria, siendo la métrica de referencia más exigente ante desbalance.</w:t>
      </w:r>
    </w:p>
    <w:p>
      <w:pPr>
        <w:keepNext/>
        <w:spacing w:before="320" w:after="80"/>
      </w:pPr>
      <w:r>
        <w:rPr>
          <w:rFonts w:ascii="Calibri" w:hAnsi="Calibri"/>
          <w:b/>
          <w:color w:val="1B365D"/>
          <w:sz w:val="29"/>
        </w:rPr>
        <w:t>4. Adquisición y Diccionario de Datos</w:t>
      </w:r>
    </w:p>
    <w:p>
      <w:pPr>
        <w:spacing w:before="0" w:after="80" w:line="276" w:lineRule="auto"/>
      </w:pPr>
      <w:r>
        <w:rPr>
          <w:rFonts w:ascii="Calibri" w:hAnsi="Calibri"/>
          <w:color w:val="1F2937"/>
          <w:sz w:val="20"/>
        </w:rPr>
        <w:t>El dataset utilizado corresponde al repositorio histórico Telco Customer Churn, compuesto por 7.043 registros y 21 columnas originales: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576"/>
            <w:shd w:fill="1B365D"/>
            <w:tcMar>
              <w:top w:w="100" w:type="dxa"/>
              <w:bottom w:w="100" w:type="dxa"/>
              <w:left w:w="120" w:type="dxa"/>
              <w:right w:w="120" w:type="dxa"/>
            </w:tcMar>
          </w:tcPr>
          <w:p>
            <w:pPr>
              <w:spacing w:before="0" w:after="0"/>
              <w:jc w:val="center"/>
            </w:pPr>
            <w:r>
              <w:rPr>
                <w:rFonts w:ascii="Calibri" w:hAnsi="Calibri"/>
                <w:b/>
                <w:color w:val="FFFFFF"/>
                <w:sz w:val="18"/>
              </w:rPr>
              <w:t>#</w:t>
            </w:r>
          </w:p>
        </w:tc>
        <w:tc>
          <w:tcPr>
            <w:tcW w:type="dxa" w:w="2016"/>
            <w:shd w:fill="1B365D"/>
            <w:tcMar>
              <w:top w:w="100" w:type="dxa"/>
              <w:bottom w:w="100" w:type="dxa"/>
              <w:left w:w="120" w:type="dxa"/>
              <w:right w:w="120" w:type="dxa"/>
            </w:tcMar>
          </w:tcPr>
          <w:p>
            <w:pPr>
              <w:spacing w:before="0" w:after="0"/>
              <w:jc w:val="left"/>
            </w:pPr>
            <w:r>
              <w:rPr>
                <w:rFonts w:ascii="Calibri" w:hAnsi="Calibri"/>
                <w:b/>
                <w:color w:val="FFFFFF"/>
                <w:sz w:val="18"/>
              </w:rPr>
              <w:t>Variable</w:t>
            </w:r>
          </w:p>
        </w:tc>
        <w:tc>
          <w:tcPr>
            <w:tcW w:type="dxa" w:w="1584"/>
            <w:shd w:fill="1B365D"/>
            <w:tcMar>
              <w:top w:w="100" w:type="dxa"/>
              <w:bottom w:w="100" w:type="dxa"/>
              <w:left w:w="120" w:type="dxa"/>
              <w:right w:w="120" w:type="dxa"/>
            </w:tcMar>
          </w:tcPr>
          <w:p>
            <w:pPr>
              <w:spacing w:before="0" w:after="0"/>
              <w:jc w:val="left"/>
            </w:pPr>
            <w:r>
              <w:rPr>
                <w:rFonts w:ascii="Calibri" w:hAnsi="Calibri"/>
                <w:b/>
                <w:color w:val="FFFFFF"/>
                <w:sz w:val="18"/>
              </w:rPr>
              <w:t>Tipo de Dato</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8"/>
              </w:rPr>
              <w:t>Naturaleza de Negocio</w:t>
            </w:r>
          </w:p>
        </w:tc>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8"/>
              </w:rPr>
              <w:t>Rango / Categorías</w:t>
            </w:r>
          </w:p>
        </w:tc>
      </w:tr>
      <w:tr>
        <w:trPr>
          <w:cantSplit/>
        </w:trPr>
        <w:tc>
          <w:tcPr>
            <w:tcW w:type="dxa" w:w="576"/>
            <w:shd w:fill="FFFFFF"/>
            <w:tcMar>
              <w:top w:w="80" w:type="dxa"/>
              <w:bottom w:w="80" w:type="dxa"/>
              <w:left w:w="120" w:type="dxa"/>
              <w:right w:w="120" w:type="dxa"/>
            </w:tcMar>
          </w:tcPr>
          <w:p>
            <w:pPr>
              <w:spacing w:before="0" w:after="0"/>
              <w:jc w:val="center"/>
            </w:pPr>
            <w:r>
              <w:rPr>
                <w:rFonts w:ascii="Calibri" w:hAnsi="Calibri"/>
                <w:color w:val="1F2937"/>
                <w:sz w:val="17"/>
              </w:rPr>
              <w:t>1</w:t>
            </w:r>
          </w:p>
        </w:tc>
        <w:tc>
          <w:tcPr>
            <w:tcW w:type="dxa" w:w="2016"/>
            <w:shd w:fill="FFFFFF"/>
            <w:tcMar>
              <w:top w:w="80" w:type="dxa"/>
              <w:bottom w:w="80" w:type="dxa"/>
              <w:left w:w="120" w:type="dxa"/>
              <w:right w:w="120" w:type="dxa"/>
            </w:tcMar>
          </w:tcPr>
          <w:p>
            <w:pPr>
              <w:spacing w:before="0" w:after="0"/>
              <w:jc w:val="left"/>
            </w:pPr>
            <w:r>
              <w:rPr>
                <w:rFonts w:ascii="Calibri" w:hAnsi="Calibri"/>
                <w:color w:val="1F2937"/>
                <w:sz w:val="17"/>
              </w:rPr>
              <w:t>customerID</w:t>
            </w:r>
          </w:p>
        </w:tc>
        <w:tc>
          <w:tcPr>
            <w:tcW w:type="dxa" w:w="1584"/>
            <w:shd w:fill="FFFFFF"/>
            <w:tcMar>
              <w:top w:w="80" w:type="dxa"/>
              <w:bottom w:w="80" w:type="dxa"/>
              <w:left w:w="120" w:type="dxa"/>
              <w:right w:w="120" w:type="dxa"/>
            </w:tcMar>
          </w:tcPr>
          <w:p>
            <w:pPr>
              <w:spacing w:before="0" w:after="0"/>
              <w:jc w:val="left"/>
            </w:pPr>
            <w:r>
              <w:rPr>
                <w:rFonts w:ascii="Calibri" w:hAnsi="Calibri"/>
                <w:color w:val="1F2937"/>
                <w:sz w:val="17"/>
              </w:rPr>
              <w:t>Categórica</w:t>
            </w:r>
          </w:p>
        </w:tc>
        <w:tc>
          <w:tcPr>
            <w:tcW w:type="dxa" w:w="2736"/>
            <w:shd w:fill="FFFFFF"/>
            <w:tcMar>
              <w:top w:w="80" w:type="dxa"/>
              <w:bottom w:w="80" w:type="dxa"/>
              <w:left w:w="120" w:type="dxa"/>
              <w:right w:w="120" w:type="dxa"/>
            </w:tcMar>
          </w:tcPr>
          <w:p>
            <w:pPr>
              <w:spacing w:before="0" w:after="0"/>
              <w:jc w:val="left"/>
            </w:pPr>
            <w:r>
              <w:rPr>
                <w:rFonts w:ascii="Calibri" w:hAnsi="Calibri"/>
                <w:color w:val="1F2937"/>
                <w:sz w:val="17"/>
              </w:rPr>
              <w:t>Identificador único de cliente</w:t>
            </w:r>
          </w:p>
        </w:tc>
        <w:tc>
          <w:tcPr>
            <w:tcW w:type="dxa" w:w="2448"/>
            <w:shd w:fill="FFFFFF"/>
            <w:tcMar>
              <w:top w:w="80" w:type="dxa"/>
              <w:bottom w:w="80" w:type="dxa"/>
              <w:left w:w="120" w:type="dxa"/>
              <w:right w:w="120" w:type="dxa"/>
            </w:tcMar>
          </w:tcPr>
          <w:p>
            <w:pPr>
              <w:spacing w:before="0" w:after="0"/>
              <w:jc w:val="left"/>
            </w:pPr>
            <w:r>
              <w:rPr>
                <w:rFonts w:ascii="Calibri" w:hAnsi="Calibri"/>
                <w:color w:val="1F2937"/>
                <w:sz w:val="17"/>
              </w:rPr>
              <w:t>Alfanumérico (ej. 7590-VHVEG) (Descartado)</w:t>
            </w:r>
          </w:p>
        </w:tc>
      </w:tr>
      <w:tr>
        <w:trPr>
          <w:cantSplit/>
        </w:trPr>
        <w:tc>
          <w:tcPr>
            <w:tcW w:type="dxa" w:w="576"/>
            <w:shd w:fill="F8FAFC"/>
            <w:tcMar>
              <w:top w:w="80" w:type="dxa"/>
              <w:bottom w:w="80" w:type="dxa"/>
              <w:left w:w="120" w:type="dxa"/>
              <w:right w:w="120" w:type="dxa"/>
            </w:tcMar>
          </w:tcPr>
          <w:p>
            <w:pPr>
              <w:spacing w:before="0" w:after="0"/>
              <w:jc w:val="center"/>
            </w:pPr>
            <w:r>
              <w:rPr>
                <w:rFonts w:ascii="Calibri" w:hAnsi="Calibri"/>
                <w:color w:val="1F2937"/>
                <w:sz w:val="17"/>
              </w:rPr>
              <w:t>2</w:t>
            </w:r>
          </w:p>
        </w:tc>
        <w:tc>
          <w:tcPr>
            <w:tcW w:type="dxa" w:w="2016"/>
            <w:shd w:fill="F8FAFC"/>
            <w:tcMar>
              <w:top w:w="80" w:type="dxa"/>
              <w:bottom w:w="80" w:type="dxa"/>
              <w:left w:w="120" w:type="dxa"/>
              <w:right w:w="120" w:type="dxa"/>
            </w:tcMar>
          </w:tcPr>
          <w:p>
            <w:pPr>
              <w:spacing w:before="0" w:after="0"/>
              <w:jc w:val="left"/>
            </w:pPr>
            <w:r>
              <w:rPr>
                <w:rFonts w:ascii="Calibri" w:hAnsi="Calibri"/>
                <w:color w:val="1F2937"/>
                <w:sz w:val="17"/>
              </w:rPr>
              <w:t>gender</w:t>
            </w:r>
          </w:p>
        </w:tc>
        <w:tc>
          <w:tcPr>
            <w:tcW w:type="dxa" w:w="1584"/>
            <w:shd w:fill="F8FAFC"/>
            <w:tcMar>
              <w:top w:w="80" w:type="dxa"/>
              <w:bottom w:w="80" w:type="dxa"/>
              <w:left w:w="120" w:type="dxa"/>
              <w:right w:w="120" w:type="dxa"/>
            </w:tcMar>
          </w:tcPr>
          <w:p>
            <w:pPr>
              <w:spacing w:before="0" w:after="0"/>
              <w:jc w:val="left"/>
            </w:pPr>
            <w:r>
              <w:rPr>
                <w:rFonts w:ascii="Calibri" w:hAnsi="Calibri"/>
                <w:color w:val="1F2937"/>
                <w:sz w:val="17"/>
              </w:rPr>
              <w:t>Categórica</w:t>
            </w:r>
          </w:p>
        </w:tc>
        <w:tc>
          <w:tcPr>
            <w:tcW w:type="dxa" w:w="2736"/>
            <w:shd w:fill="F8FAFC"/>
            <w:tcMar>
              <w:top w:w="80" w:type="dxa"/>
              <w:bottom w:w="80" w:type="dxa"/>
              <w:left w:w="120" w:type="dxa"/>
              <w:right w:w="120" w:type="dxa"/>
            </w:tcMar>
          </w:tcPr>
          <w:p>
            <w:pPr>
              <w:spacing w:before="0" w:after="0"/>
              <w:jc w:val="left"/>
            </w:pPr>
            <w:r>
              <w:rPr>
                <w:rFonts w:ascii="Calibri" w:hAnsi="Calibri"/>
                <w:color w:val="1F2937"/>
                <w:sz w:val="17"/>
              </w:rPr>
              <w:t>Género del cliente</w:t>
            </w:r>
          </w:p>
        </w:tc>
        <w:tc>
          <w:tcPr>
            <w:tcW w:type="dxa" w:w="2448"/>
            <w:shd w:fill="F8FAFC"/>
            <w:tcMar>
              <w:top w:w="80" w:type="dxa"/>
              <w:bottom w:w="80" w:type="dxa"/>
              <w:left w:w="120" w:type="dxa"/>
              <w:right w:w="120" w:type="dxa"/>
            </w:tcMar>
          </w:tcPr>
          <w:p>
            <w:pPr>
              <w:spacing w:before="0" w:after="0"/>
              <w:jc w:val="left"/>
            </w:pPr>
            <w:r>
              <w:rPr>
                <w:rFonts w:ascii="Calibri" w:hAnsi="Calibri"/>
                <w:color w:val="1F2937"/>
                <w:sz w:val="17"/>
              </w:rPr>
              <w:t>Female, Male</w:t>
            </w:r>
          </w:p>
        </w:tc>
      </w:tr>
      <w:tr>
        <w:trPr>
          <w:cantSplit/>
        </w:trPr>
        <w:tc>
          <w:tcPr>
            <w:tcW w:type="dxa" w:w="576"/>
            <w:shd w:fill="FFFFFF"/>
            <w:tcMar>
              <w:top w:w="80" w:type="dxa"/>
              <w:bottom w:w="80" w:type="dxa"/>
              <w:left w:w="120" w:type="dxa"/>
              <w:right w:w="120" w:type="dxa"/>
            </w:tcMar>
          </w:tcPr>
          <w:p>
            <w:pPr>
              <w:spacing w:before="0" w:after="0"/>
              <w:jc w:val="center"/>
            </w:pPr>
            <w:r>
              <w:rPr>
                <w:rFonts w:ascii="Calibri" w:hAnsi="Calibri"/>
                <w:color w:val="1F2937"/>
                <w:sz w:val="17"/>
              </w:rPr>
              <w:t>3</w:t>
            </w:r>
          </w:p>
        </w:tc>
        <w:tc>
          <w:tcPr>
            <w:tcW w:type="dxa" w:w="2016"/>
            <w:shd w:fill="FFFFFF"/>
            <w:tcMar>
              <w:top w:w="80" w:type="dxa"/>
              <w:bottom w:w="80" w:type="dxa"/>
              <w:left w:w="120" w:type="dxa"/>
              <w:right w:w="120" w:type="dxa"/>
            </w:tcMar>
          </w:tcPr>
          <w:p>
            <w:pPr>
              <w:spacing w:before="0" w:after="0"/>
              <w:jc w:val="left"/>
            </w:pPr>
            <w:r>
              <w:rPr>
                <w:rFonts w:ascii="Calibri" w:hAnsi="Calibri"/>
                <w:color w:val="1F2937"/>
                <w:sz w:val="17"/>
              </w:rPr>
              <w:t>SeniorCitizen</w:t>
            </w:r>
          </w:p>
        </w:tc>
        <w:tc>
          <w:tcPr>
            <w:tcW w:type="dxa" w:w="1584"/>
            <w:shd w:fill="FFFFFF"/>
            <w:tcMar>
              <w:top w:w="80" w:type="dxa"/>
              <w:bottom w:w="80" w:type="dxa"/>
              <w:left w:w="120" w:type="dxa"/>
              <w:right w:w="120" w:type="dxa"/>
            </w:tcMar>
          </w:tcPr>
          <w:p>
            <w:pPr>
              <w:spacing w:before="0" w:after="0"/>
              <w:jc w:val="left"/>
            </w:pPr>
            <w:r>
              <w:rPr>
                <w:rFonts w:ascii="Calibri" w:hAnsi="Calibri"/>
                <w:color w:val="1F2937"/>
                <w:sz w:val="17"/>
              </w:rPr>
              <w:t>Numérica / Binaria</w:t>
            </w:r>
          </w:p>
        </w:tc>
        <w:tc>
          <w:tcPr>
            <w:tcW w:type="dxa" w:w="2736"/>
            <w:shd w:fill="FFFFFF"/>
            <w:tcMar>
              <w:top w:w="80" w:type="dxa"/>
              <w:bottom w:w="80" w:type="dxa"/>
              <w:left w:w="120" w:type="dxa"/>
              <w:right w:w="120" w:type="dxa"/>
            </w:tcMar>
          </w:tcPr>
          <w:p>
            <w:pPr>
              <w:spacing w:before="0" w:after="0"/>
              <w:jc w:val="left"/>
            </w:pPr>
            <w:r>
              <w:rPr>
                <w:rFonts w:ascii="Calibri" w:hAnsi="Calibri"/>
                <w:color w:val="1F2937"/>
                <w:sz w:val="17"/>
              </w:rPr>
              <w:t>Indicador de tercera edad (adulto mayor)</w:t>
            </w:r>
          </w:p>
        </w:tc>
        <w:tc>
          <w:tcPr>
            <w:tcW w:type="dxa" w:w="2448"/>
            <w:shd w:fill="FFFFFF"/>
            <w:tcMar>
              <w:top w:w="80" w:type="dxa"/>
              <w:bottom w:w="80" w:type="dxa"/>
              <w:left w:w="120" w:type="dxa"/>
              <w:right w:w="120" w:type="dxa"/>
            </w:tcMar>
          </w:tcPr>
          <w:p>
            <w:pPr>
              <w:spacing w:before="0" w:after="0"/>
              <w:jc w:val="left"/>
            </w:pPr>
            <w:r>
              <w:rPr>
                <w:rFonts w:ascii="Calibri" w:hAnsi="Calibri"/>
                <w:color w:val="1F2937"/>
                <w:sz w:val="17"/>
              </w:rPr>
              <w:t>0 = No, 1 = Sí</w:t>
            </w:r>
          </w:p>
        </w:tc>
      </w:tr>
      <w:tr>
        <w:trPr>
          <w:cantSplit/>
        </w:trPr>
        <w:tc>
          <w:tcPr>
            <w:tcW w:type="dxa" w:w="576"/>
            <w:shd w:fill="F8FAFC"/>
            <w:tcMar>
              <w:top w:w="80" w:type="dxa"/>
              <w:bottom w:w="80" w:type="dxa"/>
              <w:left w:w="120" w:type="dxa"/>
              <w:right w:w="120" w:type="dxa"/>
            </w:tcMar>
          </w:tcPr>
          <w:p>
            <w:pPr>
              <w:spacing w:before="0" w:after="0"/>
              <w:jc w:val="center"/>
            </w:pPr>
            <w:r>
              <w:rPr>
                <w:rFonts w:ascii="Calibri" w:hAnsi="Calibri"/>
                <w:color w:val="1F2937"/>
                <w:sz w:val="17"/>
              </w:rPr>
              <w:t>4</w:t>
            </w:r>
          </w:p>
        </w:tc>
        <w:tc>
          <w:tcPr>
            <w:tcW w:type="dxa" w:w="2016"/>
            <w:shd w:fill="F8FAFC"/>
            <w:tcMar>
              <w:top w:w="80" w:type="dxa"/>
              <w:bottom w:w="80" w:type="dxa"/>
              <w:left w:w="120" w:type="dxa"/>
              <w:right w:w="120" w:type="dxa"/>
            </w:tcMar>
          </w:tcPr>
          <w:p>
            <w:pPr>
              <w:spacing w:before="0" w:after="0"/>
              <w:jc w:val="left"/>
            </w:pPr>
            <w:r>
              <w:rPr>
                <w:rFonts w:ascii="Calibri" w:hAnsi="Calibri"/>
                <w:color w:val="1F2937"/>
                <w:sz w:val="17"/>
              </w:rPr>
              <w:t>Partner</w:t>
            </w:r>
          </w:p>
        </w:tc>
        <w:tc>
          <w:tcPr>
            <w:tcW w:type="dxa" w:w="1584"/>
            <w:shd w:fill="F8FAFC"/>
            <w:tcMar>
              <w:top w:w="80" w:type="dxa"/>
              <w:bottom w:w="80" w:type="dxa"/>
              <w:left w:w="120" w:type="dxa"/>
              <w:right w:w="120" w:type="dxa"/>
            </w:tcMar>
          </w:tcPr>
          <w:p>
            <w:pPr>
              <w:spacing w:before="0" w:after="0"/>
              <w:jc w:val="left"/>
            </w:pPr>
            <w:r>
              <w:rPr>
                <w:rFonts w:ascii="Calibri" w:hAnsi="Calibri"/>
                <w:color w:val="1F2937"/>
                <w:sz w:val="17"/>
              </w:rPr>
              <w:t>Categórica</w:t>
            </w:r>
          </w:p>
        </w:tc>
        <w:tc>
          <w:tcPr>
            <w:tcW w:type="dxa" w:w="2736"/>
            <w:shd w:fill="F8FAFC"/>
            <w:tcMar>
              <w:top w:w="80" w:type="dxa"/>
              <w:bottom w:w="80" w:type="dxa"/>
              <w:left w:w="120" w:type="dxa"/>
              <w:right w:w="120" w:type="dxa"/>
            </w:tcMar>
          </w:tcPr>
          <w:p>
            <w:pPr>
              <w:spacing w:before="0" w:after="0"/>
              <w:jc w:val="left"/>
            </w:pPr>
            <w:r>
              <w:rPr>
                <w:rFonts w:ascii="Calibri" w:hAnsi="Calibri"/>
                <w:color w:val="1F2937"/>
                <w:sz w:val="17"/>
              </w:rPr>
              <w:t>Posee pareja o cónyuge</w:t>
            </w:r>
          </w:p>
        </w:tc>
        <w:tc>
          <w:tcPr>
            <w:tcW w:type="dxa" w:w="2448"/>
            <w:shd w:fill="F8FAFC"/>
            <w:tcMar>
              <w:top w:w="80" w:type="dxa"/>
              <w:bottom w:w="80" w:type="dxa"/>
              <w:left w:w="120" w:type="dxa"/>
              <w:right w:w="120" w:type="dxa"/>
            </w:tcMar>
          </w:tcPr>
          <w:p>
            <w:pPr>
              <w:spacing w:before="0" w:after="0"/>
              <w:jc w:val="left"/>
            </w:pPr>
            <w:r>
              <w:rPr>
                <w:rFonts w:ascii="Calibri" w:hAnsi="Calibri"/>
                <w:color w:val="1F2937"/>
                <w:sz w:val="17"/>
              </w:rPr>
              <w:t>Yes, No</w:t>
            </w:r>
          </w:p>
        </w:tc>
      </w:tr>
      <w:tr>
        <w:trPr>
          <w:cantSplit/>
        </w:trPr>
        <w:tc>
          <w:tcPr>
            <w:tcW w:type="dxa" w:w="576"/>
            <w:shd w:fill="FFFFFF"/>
            <w:tcMar>
              <w:top w:w="80" w:type="dxa"/>
              <w:bottom w:w="80" w:type="dxa"/>
              <w:left w:w="120" w:type="dxa"/>
              <w:right w:w="120" w:type="dxa"/>
            </w:tcMar>
          </w:tcPr>
          <w:p>
            <w:pPr>
              <w:spacing w:before="0" w:after="0"/>
              <w:jc w:val="center"/>
            </w:pPr>
            <w:r>
              <w:rPr>
                <w:rFonts w:ascii="Calibri" w:hAnsi="Calibri"/>
                <w:color w:val="1F2937"/>
                <w:sz w:val="17"/>
              </w:rPr>
              <w:t>5</w:t>
            </w:r>
          </w:p>
        </w:tc>
        <w:tc>
          <w:tcPr>
            <w:tcW w:type="dxa" w:w="2016"/>
            <w:shd w:fill="FFFFFF"/>
            <w:tcMar>
              <w:top w:w="80" w:type="dxa"/>
              <w:bottom w:w="80" w:type="dxa"/>
              <w:left w:w="120" w:type="dxa"/>
              <w:right w:w="120" w:type="dxa"/>
            </w:tcMar>
          </w:tcPr>
          <w:p>
            <w:pPr>
              <w:spacing w:before="0" w:after="0"/>
              <w:jc w:val="left"/>
            </w:pPr>
            <w:r>
              <w:rPr>
                <w:rFonts w:ascii="Calibri" w:hAnsi="Calibri"/>
                <w:color w:val="1F2937"/>
                <w:sz w:val="17"/>
              </w:rPr>
              <w:t>Dependents</w:t>
            </w:r>
          </w:p>
        </w:tc>
        <w:tc>
          <w:tcPr>
            <w:tcW w:type="dxa" w:w="1584"/>
            <w:shd w:fill="FFFFFF"/>
            <w:tcMar>
              <w:top w:w="80" w:type="dxa"/>
              <w:bottom w:w="80" w:type="dxa"/>
              <w:left w:w="120" w:type="dxa"/>
              <w:right w:w="120" w:type="dxa"/>
            </w:tcMar>
          </w:tcPr>
          <w:p>
            <w:pPr>
              <w:spacing w:before="0" w:after="0"/>
              <w:jc w:val="left"/>
            </w:pPr>
            <w:r>
              <w:rPr>
                <w:rFonts w:ascii="Calibri" w:hAnsi="Calibri"/>
                <w:color w:val="1F2937"/>
                <w:sz w:val="17"/>
              </w:rPr>
              <w:t>Categórica</w:t>
            </w:r>
          </w:p>
        </w:tc>
        <w:tc>
          <w:tcPr>
            <w:tcW w:type="dxa" w:w="2736"/>
            <w:shd w:fill="FFFFFF"/>
            <w:tcMar>
              <w:top w:w="80" w:type="dxa"/>
              <w:bottom w:w="80" w:type="dxa"/>
              <w:left w:w="120" w:type="dxa"/>
              <w:right w:w="120" w:type="dxa"/>
            </w:tcMar>
          </w:tcPr>
          <w:p>
            <w:pPr>
              <w:spacing w:before="0" w:after="0"/>
              <w:jc w:val="left"/>
            </w:pPr>
            <w:r>
              <w:rPr>
                <w:rFonts w:ascii="Calibri" w:hAnsi="Calibri"/>
                <w:color w:val="1F2937"/>
                <w:sz w:val="17"/>
              </w:rPr>
              <w:t>Posee dependientes económicos o hijos</w:t>
            </w:r>
          </w:p>
        </w:tc>
        <w:tc>
          <w:tcPr>
            <w:tcW w:type="dxa" w:w="2448"/>
            <w:shd w:fill="FFFFFF"/>
            <w:tcMar>
              <w:top w:w="80" w:type="dxa"/>
              <w:bottom w:w="80" w:type="dxa"/>
              <w:left w:w="120" w:type="dxa"/>
              <w:right w:w="120" w:type="dxa"/>
            </w:tcMar>
          </w:tcPr>
          <w:p>
            <w:pPr>
              <w:spacing w:before="0" w:after="0"/>
              <w:jc w:val="left"/>
            </w:pPr>
            <w:r>
              <w:rPr>
                <w:rFonts w:ascii="Calibri" w:hAnsi="Calibri"/>
                <w:color w:val="1F2937"/>
                <w:sz w:val="17"/>
              </w:rPr>
              <w:t>Yes, No</w:t>
            </w:r>
          </w:p>
        </w:tc>
      </w:tr>
      <w:tr>
        <w:trPr>
          <w:cantSplit/>
        </w:trPr>
        <w:tc>
          <w:tcPr>
            <w:tcW w:type="dxa" w:w="576"/>
            <w:shd w:fill="F8FAFC"/>
            <w:tcMar>
              <w:top w:w="80" w:type="dxa"/>
              <w:bottom w:w="80" w:type="dxa"/>
              <w:left w:w="120" w:type="dxa"/>
              <w:right w:w="120" w:type="dxa"/>
            </w:tcMar>
          </w:tcPr>
          <w:p>
            <w:pPr>
              <w:spacing w:before="0" w:after="0"/>
              <w:jc w:val="center"/>
            </w:pPr>
            <w:r>
              <w:rPr>
                <w:rFonts w:ascii="Calibri" w:hAnsi="Calibri"/>
                <w:color w:val="1F2937"/>
                <w:sz w:val="17"/>
              </w:rPr>
              <w:t>6</w:t>
            </w:r>
          </w:p>
        </w:tc>
        <w:tc>
          <w:tcPr>
            <w:tcW w:type="dxa" w:w="2016"/>
            <w:shd w:fill="F8FAFC"/>
            <w:tcMar>
              <w:top w:w="80" w:type="dxa"/>
              <w:bottom w:w="80" w:type="dxa"/>
              <w:left w:w="120" w:type="dxa"/>
              <w:right w:w="120" w:type="dxa"/>
            </w:tcMar>
          </w:tcPr>
          <w:p>
            <w:pPr>
              <w:spacing w:before="0" w:after="0"/>
              <w:jc w:val="left"/>
            </w:pPr>
            <w:r>
              <w:rPr>
                <w:rFonts w:ascii="Calibri" w:hAnsi="Calibri"/>
                <w:color w:val="1F2937"/>
                <w:sz w:val="17"/>
              </w:rPr>
              <w:t>tenure</w:t>
            </w:r>
          </w:p>
        </w:tc>
        <w:tc>
          <w:tcPr>
            <w:tcW w:type="dxa" w:w="1584"/>
            <w:shd w:fill="F8FAFC"/>
            <w:tcMar>
              <w:top w:w="80" w:type="dxa"/>
              <w:bottom w:w="80" w:type="dxa"/>
              <w:left w:w="120" w:type="dxa"/>
              <w:right w:w="120" w:type="dxa"/>
            </w:tcMar>
          </w:tcPr>
          <w:p>
            <w:pPr>
              <w:spacing w:before="0" w:after="0"/>
              <w:jc w:val="left"/>
            </w:pPr>
            <w:r>
              <w:rPr>
                <w:rFonts w:ascii="Calibri" w:hAnsi="Calibri"/>
                <w:color w:val="1F2937"/>
                <w:sz w:val="17"/>
              </w:rPr>
              <w:t>Numérica (int64)</w:t>
            </w:r>
          </w:p>
        </w:tc>
        <w:tc>
          <w:tcPr>
            <w:tcW w:type="dxa" w:w="2736"/>
            <w:shd w:fill="F8FAFC"/>
            <w:tcMar>
              <w:top w:w="80" w:type="dxa"/>
              <w:bottom w:w="80" w:type="dxa"/>
              <w:left w:w="120" w:type="dxa"/>
              <w:right w:w="120" w:type="dxa"/>
            </w:tcMar>
          </w:tcPr>
          <w:p>
            <w:pPr>
              <w:spacing w:before="0" w:after="0"/>
              <w:jc w:val="left"/>
            </w:pPr>
            <w:r>
              <w:rPr>
                <w:rFonts w:ascii="Calibri" w:hAnsi="Calibri"/>
                <w:color w:val="1F2937"/>
                <w:sz w:val="17"/>
              </w:rPr>
              <w:t>Antigüedad del cliente con la empresa</w:t>
            </w:r>
          </w:p>
        </w:tc>
        <w:tc>
          <w:tcPr>
            <w:tcW w:type="dxa" w:w="2448"/>
            <w:shd w:fill="F8FAFC"/>
            <w:tcMar>
              <w:top w:w="80" w:type="dxa"/>
              <w:bottom w:w="80" w:type="dxa"/>
              <w:left w:w="120" w:type="dxa"/>
              <w:right w:w="120" w:type="dxa"/>
            </w:tcMar>
          </w:tcPr>
          <w:p>
            <w:pPr>
              <w:spacing w:before="0" w:after="0"/>
              <w:jc w:val="left"/>
            </w:pPr>
            <w:r>
              <w:rPr>
                <w:rFonts w:ascii="Calibri" w:hAnsi="Calibri"/>
                <w:color w:val="1F2937"/>
                <w:sz w:val="17"/>
              </w:rPr>
              <w:t>0 a 72 meses</w:t>
            </w:r>
          </w:p>
        </w:tc>
      </w:tr>
      <w:tr>
        <w:trPr>
          <w:cantSplit/>
        </w:trPr>
        <w:tc>
          <w:tcPr>
            <w:tcW w:type="dxa" w:w="576"/>
            <w:shd w:fill="FFFFFF"/>
            <w:tcMar>
              <w:top w:w="80" w:type="dxa"/>
              <w:bottom w:w="80" w:type="dxa"/>
              <w:left w:w="120" w:type="dxa"/>
              <w:right w:w="120" w:type="dxa"/>
            </w:tcMar>
          </w:tcPr>
          <w:p>
            <w:pPr>
              <w:spacing w:before="0" w:after="0"/>
              <w:jc w:val="center"/>
            </w:pPr>
            <w:r>
              <w:rPr>
                <w:rFonts w:ascii="Calibri" w:hAnsi="Calibri"/>
                <w:color w:val="1F2937"/>
                <w:sz w:val="17"/>
              </w:rPr>
              <w:t>7</w:t>
            </w:r>
          </w:p>
        </w:tc>
        <w:tc>
          <w:tcPr>
            <w:tcW w:type="dxa" w:w="2016"/>
            <w:shd w:fill="FFFFFF"/>
            <w:tcMar>
              <w:top w:w="80" w:type="dxa"/>
              <w:bottom w:w="80" w:type="dxa"/>
              <w:left w:w="120" w:type="dxa"/>
              <w:right w:w="120" w:type="dxa"/>
            </w:tcMar>
          </w:tcPr>
          <w:p>
            <w:pPr>
              <w:spacing w:before="0" w:after="0"/>
              <w:jc w:val="left"/>
            </w:pPr>
            <w:r>
              <w:rPr>
                <w:rFonts w:ascii="Calibri" w:hAnsi="Calibri"/>
                <w:color w:val="1F2937"/>
                <w:sz w:val="17"/>
              </w:rPr>
              <w:t>PhoneService</w:t>
            </w:r>
          </w:p>
        </w:tc>
        <w:tc>
          <w:tcPr>
            <w:tcW w:type="dxa" w:w="1584"/>
            <w:shd w:fill="FFFFFF"/>
            <w:tcMar>
              <w:top w:w="80" w:type="dxa"/>
              <w:bottom w:w="80" w:type="dxa"/>
              <w:left w:w="120" w:type="dxa"/>
              <w:right w:w="120" w:type="dxa"/>
            </w:tcMar>
          </w:tcPr>
          <w:p>
            <w:pPr>
              <w:spacing w:before="0" w:after="0"/>
              <w:jc w:val="left"/>
            </w:pPr>
            <w:r>
              <w:rPr>
                <w:rFonts w:ascii="Calibri" w:hAnsi="Calibri"/>
                <w:color w:val="1F2937"/>
                <w:sz w:val="17"/>
              </w:rPr>
              <w:t>Categórica</w:t>
            </w:r>
          </w:p>
        </w:tc>
        <w:tc>
          <w:tcPr>
            <w:tcW w:type="dxa" w:w="2736"/>
            <w:shd w:fill="FFFFFF"/>
            <w:tcMar>
              <w:top w:w="80" w:type="dxa"/>
              <w:bottom w:w="80" w:type="dxa"/>
              <w:left w:w="120" w:type="dxa"/>
              <w:right w:w="120" w:type="dxa"/>
            </w:tcMar>
          </w:tcPr>
          <w:p>
            <w:pPr>
              <w:spacing w:before="0" w:after="0"/>
              <w:jc w:val="left"/>
            </w:pPr>
            <w:r>
              <w:rPr>
                <w:rFonts w:ascii="Calibri" w:hAnsi="Calibri"/>
                <w:color w:val="1F2937"/>
                <w:sz w:val="17"/>
              </w:rPr>
              <w:t>Servicio de telefonía fija contratado</w:t>
            </w:r>
          </w:p>
        </w:tc>
        <w:tc>
          <w:tcPr>
            <w:tcW w:type="dxa" w:w="2448"/>
            <w:shd w:fill="FFFFFF"/>
            <w:tcMar>
              <w:top w:w="80" w:type="dxa"/>
              <w:bottom w:w="80" w:type="dxa"/>
              <w:left w:w="120" w:type="dxa"/>
              <w:right w:w="120" w:type="dxa"/>
            </w:tcMar>
          </w:tcPr>
          <w:p>
            <w:pPr>
              <w:spacing w:before="0" w:after="0"/>
              <w:jc w:val="left"/>
            </w:pPr>
            <w:r>
              <w:rPr>
                <w:rFonts w:ascii="Calibri" w:hAnsi="Calibri"/>
                <w:color w:val="1F2937"/>
                <w:sz w:val="17"/>
              </w:rPr>
              <w:t>Yes, No</w:t>
            </w:r>
          </w:p>
        </w:tc>
      </w:tr>
      <w:tr>
        <w:trPr>
          <w:cantSplit/>
        </w:trPr>
        <w:tc>
          <w:tcPr>
            <w:tcW w:type="dxa" w:w="576"/>
            <w:shd w:fill="F8FAFC"/>
            <w:tcMar>
              <w:top w:w="80" w:type="dxa"/>
              <w:bottom w:w="80" w:type="dxa"/>
              <w:left w:w="120" w:type="dxa"/>
              <w:right w:w="120" w:type="dxa"/>
            </w:tcMar>
          </w:tcPr>
          <w:p>
            <w:pPr>
              <w:spacing w:before="0" w:after="0"/>
              <w:jc w:val="center"/>
            </w:pPr>
            <w:r>
              <w:rPr>
                <w:rFonts w:ascii="Calibri" w:hAnsi="Calibri"/>
                <w:color w:val="1F2937"/>
                <w:sz w:val="17"/>
              </w:rPr>
              <w:t>8</w:t>
            </w:r>
          </w:p>
        </w:tc>
        <w:tc>
          <w:tcPr>
            <w:tcW w:type="dxa" w:w="2016"/>
            <w:shd w:fill="F8FAFC"/>
            <w:tcMar>
              <w:top w:w="80" w:type="dxa"/>
              <w:bottom w:w="80" w:type="dxa"/>
              <w:left w:w="120" w:type="dxa"/>
              <w:right w:w="120" w:type="dxa"/>
            </w:tcMar>
          </w:tcPr>
          <w:p>
            <w:pPr>
              <w:spacing w:before="0" w:after="0"/>
              <w:jc w:val="left"/>
            </w:pPr>
            <w:r>
              <w:rPr>
                <w:rFonts w:ascii="Calibri" w:hAnsi="Calibri"/>
                <w:color w:val="1F2937"/>
                <w:sz w:val="17"/>
              </w:rPr>
              <w:t>MultipleLines</w:t>
            </w:r>
          </w:p>
        </w:tc>
        <w:tc>
          <w:tcPr>
            <w:tcW w:type="dxa" w:w="1584"/>
            <w:shd w:fill="F8FAFC"/>
            <w:tcMar>
              <w:top w:w="80" w:type="dxa"/>
              <w:bottom w:w="80" w:type="dxa"/>
              <w:left w:w="120" w:type="dxa"/>
              <w:right w:w="120" w:type="dxa"/>
            </w:tcMar>
          </w:tcPr>
          <w:p>
            <w:pPr>
              <w:spacing w:before="0" w:after="0"/>
              <w:jc w:val="left"/>
            </w:pPr>
            <w:r>
              <w:rPr>
                <w:rFonts w:ascii="Calibri" w:hAnsi="Calibri"/>
                <w:color w:val="1F2937"/>
                <w:sz w:val="17"/>
              </w:rPr>
              <w:t>Categórica</w:t>
            </w:r>
          </w:p>
        </w:tc>
        <w:tc>
          <w:tcPr>
            <w:tcW w:type="dxa" w:w="2736"/>
            <w:shd w:fill="F8FAFC"/>
            <w:tcMar>
              <w:top w:w="80" w:type="dxa"/>
              <w:bottom w:w="80" w:type="dxa"/>
              <w:left w:w="120" w:type="dxa"/>
              <w:right w:w="120" w:type="dxa"/>
            </w:tcMar>
          </w:tcPr>
          <w:p>
            <w:pPr>
              <w:spacing w:before="0" w:after="0"/>
              <w:jc w:val="left"/>
            </w:pPr>
            <w:r>
              <w:rPr>
                <w:rFonts w:ascii="Calibri" w:hAnsi="Calibri"/>
                <w:color w:val="1F2937"/>
                <w:sz w:val="17"/>
              </w:rPr>
              <w:t>Múltiples líneas telefónicas</w:t>
            </w:r>
          </w:p>
        </w:tc>
        <w:tc>
          <w:tcPr>
            <w:tcW w:type="dxa" w:w="2448"/>
            <w:shd w:fill="F8FAFC"/>
            <w:tcMar>
              <w:top w:w="80" w:type="dxa"/>
              <w:bottom w:w="80" w:type="dxa"/>
              <w:left w:w="120" w:type="dxa"/>
              <w:right w:w="120" w:type="dxa"/>
            </w:tcMar>
          </w:tcPr>
          <w:p>
            <w:pPr>
              <w:spacing w:before="0" w:after="0"/>
              <w:jc w:val="left"/>
            </w:pPr>
            <w:r>
              <w:rPr>
                <w:rFonts w:ascii="Calibri" w:hAnsi="Calibri"/>
                <w:color w:val="1F2937"/>
                <w:sz w:val="17"/>
              </w:rPr>
              <w:t>No, Yes, No phone service</w:t>
            </w:r>
          </w:p>
        </w:tc>
      </w:tr>
      <w:tr>
        <w:trPr>
          <w:cantSplit/>
        </w:trPr>
        <w:tc>
          <w:tcPr>
            <w:tcW w:type="dxa" w:w="576"/>
            <w:shd w:fill="FFFFFF"/>
            <w:tcMar>
              <w:top w:w="80" w:type="dxa"/>
              <w:bottom w:w="80" w:type="dxa"/>
              <w:left w:w="120" w:type="dxa"/>
              <w:right w:w="120" w:type="dxa"/>
            </w:tcMar>
          </w:tcPr>
          <w:p>
            <w:pPr>
              <w:spacing w:before="0" w:after="0"/>
              <w:jc w:val="center"/>
            </w:pPr>
            <w:r>
              <w:rPr>
                <w:rFonts w:ascii="Calibri" w:hAnsi="Calibri"/>
                <w:color w:val="1F2937"/>
                <w:sz w:val="17"/>
              </w:rPr>
              <w:t>9</w:t>
            </w:r>
          </w:p>
        </w:tc>
        <w:tc>
          <w:tcPr>
            <w:tcW w:type="dxa" w:w="2016"/>
            <w:shd w:fill="FFFFFF"/>
            <w:tcMar>
              <w:top w:w="80" w:type="dxa"/>
              <w:bottom w:w="80" w:type="dxa"/>
              <w:left w:w="120" w:type="dxa"/>
              <w:right w:w="120" w:type="dxa"/>
            </w:tcMar>
          </w:tcPr>
          <w:p>
            <w:pPr>
              <w:spacing w:before="0" w:after="0"/>
              <w:jc w:val="left"/>
            </w:pPr>
            <w:r>
              <w:rPr>
                <w:rFonts w:ascii="Calibri" w:hAnsi="Calibri"/>
                <w:color w:val="1F2937"/>
                <w:sz w:val="17"/>
              </w:rPr>
              <w:t>InternetService</w:t>
            </w:r>
          </w:p>
        </w:tc>
        <w:tc>
          <w:tcPr>
            <w:tcW w:type="dxa" w:w="1584"/>
            <w:shd w:fill="FFFFFF"/>
            <w:tcMar>
              <w:top w:w="80" w:type="dxa"/>
              <w:bottom w:w="80" w:type="dxa"/>
              <w:left w:w="120" w:type="dxa"/>
              <w:right w:w="120" w:type="dxa"/>
            </w:tcMar>
          </w:tcPr>
          <w:p>
            <w:pPr>
              <w:spacing w:before="0" w:after="0"/>
              <w:jc w:val="left"/>
            </w:pPr>
            <w:r>
              <w:rPr>
                <w:rFonts w:ascii="Calibri" w:hAnsi="Calibri"/>
                <w:color w:val="1F2937"/>
                <w:sz w:val="17"/>
              </w:rPr>
              <w:t>Categórica</w:t>
            </w:r>
          </w:p>
        </w:tc>
        <w:tc>
          <w:tcPr>
            <w:tcW w:type="dxa" w:w="2736"/>
            <w:shd w:fill="FFFFFF"/>
            <w:tcMar>
              <w:top w:w="80" w:type="dxa"/>
              <w:bottom w:w="80" w:type="dxa"/>
              <w:left w:w="120" w:type="dxa"/>
              <w:right w:w="120" w:type="dxa"/>
            </w:tcMar>
          </w:tcPr>
          <w:p>
            <w:pPr>
              <w:spacing w:before="0" w:after="0"/>
              <w:jc w:val="left"/>
            </w:pPr>
            <w:r>
              <w:rPr>
                <w:rFonts w:ascii="Calibri" w:hAnsi="Calibri"/>
                <w:color w:val="1F2937"/>
                <w:sz w:val="17"/>
              </w:rPr>
              <w:t>Tipo de conexión y tecnología a internet</w:t>
            </w:r>
          </w:p>
        </w:tc>
        <w:tc>
          <w:tcPr>
            <w:tcW w:type="dxa" w:w="2448"/>
            <w:shd w:fill="FFFFFF"/>
            <w:tcMar>
              <w:top w:w="80" w:type="dxa"/>
              <w:bottom w:w="80" w:type="dxa"/>
              <w:left w:w="120" w:type="dxa"/>
              <w:right w:w="120" w:type="dxa"/>
            </w:tcMar>
          </w:tcPr>
          <w:p>
            <w:pPr>
              <w:spacing w:before="0" w:after="0"/>
              <w:jc w:val="left"/>
            </w:pPr>
            <w:r>
              <w:rPr>
                <w:rFonts w:ascii="Calibri" w:hAnsi="Calibri"/>
                <w:color w:val="1F2937"/>
                <w:sz w:val="17"/>
              </w:rPr>
              <w:t>DSL, Fiber optic, No</w:t>
            </w:r>
          </w:p>
        </w:tc>
      </w:tr>
      <w:tr>
        <w:trPr>
          <w:cantSplit/>
        </w:trPr>
        <w:tc>
          <w:tcPr>
            <w:tcW w:type="dxa" w:w="576"/>
            <w:shd w:fill="F8FAFC"/>
            <w:tcMar>
              <w:top w:w="80" w:type="dxa"/>
              <w:bottom w:w="80" w:type="dxa"/>
              <w:left w:w="120" w:type="dxa"/>
              <w:right w:w="120" w:type="dxa"/>
            </w:tcMar>
          </w:tcPr>
          <w:p>
            <w:pPr>
              <w:spacing w:before="0" w:after="0"/>
              <w:jc w:val="center"/>
            </w:pPr>
            <w:r>
              <w:rPr>
                <w:rFonts w:ascii="Calibri" w:hAnsi="Calibri"/>
                <w:color w:val="1F2937"/>
                <w:sz w:val="17"/>
              </w:rPr>
              <w:t>10</w:t>
            </w:r>
          </w:p>
        </w:tc>
        <w:tc>
          <w:tcPr>
            <w:tcW w:type="dxa" w:w="2016"/>
            <w:shd w:fill="F8FAFC"/>
            <w:tcMar>
              <w:top w:w="80" w:type="dxa"/>
              <w:bottom w:w="80" w:type="dxa"/>
              <w:left w:w="120" w:type="dxa"/>
              <w:right w:w="120" w:type="dxa"/>
            </w:tcMar>
          </w:tcPr>
          <w:p>
            <w:pPr>
              <w:spacing w:before="0" w:after="0"/>
              <w:jc w:val="left"/>
            </w:pPr>
            <w:r>
              <w:rPr>
                <w:rFonts w:ascii="Calibri" w:hAnsi="Calibri"/>
                <w:color w:val="1F2937"/>
                <w:sz w:val="17"/>
              </w:rPr>
              <w:t>OnlineSecurity</w:t>
            </w:r>
          </w:p>
        </w:tc>
        <w:tc>
          <w:tcPr>
            <w:tcW w:type="dxa" w:w="1584"/>
            <w:shd w:fill="F8FAFC"/>
            <w:tcMar>
              <w:top w:w="80" w:type="dxa"/>
              <w:bottom w:w="80" w:type="dxa"/>
              <w:left w:w="120" w:type="dxa"/>
              <w:right w:w="120" w:type="dxa"/>
            </w:tcMar>
          </w:tcPr>
          <w:p>
            <w:pPr>
              <w:spacing w:before="0" w:after="0"/>
              <w:jc w:val="left"/>
            </w:pPr>
            <w:r>
              <w:rPr>
                <w:rFonts w:ascii="Calibri" w:hAnsi="Calibri"/>
                <w:color w:val="1F2937"/>
                <w:sz w:val="17"/>
              </w:rPr>
              <w:t>Categórica</w:t>
            </w:r>
          </w:p>
        </w:tc>
        <w:tc>
          <w:tcPr>
            <w:tcW w:type="dxa" w:w="2736"/>
            <w:shd w:fill="F8FAFC"/>
            <w:tcMar>
              <w:top w:w="80" w:type="dxa"/>
              <w:bottom w:w="80" w:type="dxa"/>
              <w:left w:w="120" w:type="dxa"/>
              <w:right w:w="120" w:type="dxa"/>
            </w:tcMar>
          </w:tcPr>
          <w:p>
            <w:pPr>
              <w:spacing w:before="0" w:after="0"/>
              <w:jc w:val="left"/>
            </w:pPr>
            <w:r>
              <w:rPr>
                <w:rFonts w:ascii="Calibri" w:hAnsi="Calibri"/>
                <w:color w:val="1F2937"/>
                <w:sz w:val="17"/>
              </w:rPr>
              <w:t>Servicio adicional de seguridad en línea</w:t>
            </w:r>
          </w:p>
        </w:tc>
        <w:tc>
          <w:tcPr>
            <w:tcW w:type="dxa" w:w="2448"/>
            <w:shd w:fill="F8FAFC"/>
            <w:tcMar>
              <w:top w:w="80" w:type="dxa"/>
              <w:bottom w:w="80" w:type="dxa"/>
              <w:left w:w="120" w:type="dxa"/>
              <w:right w:w="120" w:type="dxa"/>
            </w:tcMar>
          </w:tcPr>
          <w:p>
            <w:pPr>
              <w:spacing w:before="0" w:after="0"/>
              <w:jc w:val="left"/>
            </w:pPr>
            <w:r>
              <w:rPr>
                <w:rFonts w:ascii="Calibri" w:hAnsi="Calibri"/>
                <w:color w:val="1F2937"/>
                <w:sz w:val="17"/>
              </w:rPr>
              <w:t>No, Yes, No internet service</w:t>
            </w:r>
          </w:p>
        </w:tc>
      </w:tr>
      <w:tr>
        <w:trPr>
          <w:cantSplit/>
        </w:trPr>
        <w:tc>
          <w:tcPr>
            <w:tcW w:type="dxa" w:w="576"/>
            <w:shd w:fill="FFFFFF"/>
            <w:tcMar>
              <w:top w:w="80" w:type="dxa"/>
              <w:bottom w:w="80" w:type="dxa"/>
              <w:left w:w="120" w:type="dxa"/>
              <w:right w:w="120" w:type="dxa"/>
            </w:tcMar>
          </w:tcPr>
          <w:p>
            <w:pPr>
              <w:spacing w:before="0" w:after="0"/>
              <w:jc w:val="center"/>
            </w:pPr>
            <w:r>
              <w:rPr>
                <w:rFonts w:ascii="Calibri" w:hAnsi="Calibri"/>
                <w:color w:val="1F2937"/>
                <w:sz w:val="17"/>
              </w:rPr>
              <w:t>11</w:t>
            </w:r>
          </w:p>
        </w:tc>
        <w:tc>
          <w:tcPr>
            <w:tcW w:type="dxa" w:w="2016"/>
            <w:shd w:fill="FFFFFF"/>
            <w:tcMar>
              <w:top w:w="80" w:type="dxa"/>
              <w:bottom w:w="80" w:type="dxa"/>
              <w:left w:w="120" w:type="dxa"/>
              <w:right w:w="120" w:type="dxa"/>
            </w:tcMar>
          </w:tcPr>
          <w:p>
            <w:pPr>
              <w:spacing w:before="0" w:after="0"/>
              <w:jc w:val="left"/>
            </w:pPr>
            <w:r>
              <w:rPr>
                <w:rFonts w:ascii="Calibri" w:hAnsi="Calibri"/>
                <w:color w:val="1F2937"/>
                <w:sz w:val="17"/>
              </w:rPr>
              <w:t>OnlineBackup</w:t>
            </w:r>
          </w:p>
        </w:tc>
        <w:tc>
          <w:tcPr>
            <w:tcW w:type="dxa" w:w="1584"/>
            <w:shd w:fill="FFFFFF"/>
            <w:tcMar>
              <w:top w:w="80" w:type="dxa"/>
              <w:bottom w:w="80" w:type="dxa"/>
              <w:left w:w="120" w:type="dxa"/>
              <w:right w:w="120" w:type="dxa"/>
            </w:tcMar>
          </w:tcPr>
          <w:p>
            <w:pPr>
              <w:spacing w:before="0" w:after="0"/>
              <w:jc w:val="left"/>
            </w:pPr>
            <w:r>
              <w:rPr>
                <w:rFonts w:ascii="Calibri" w:hAnsi="Calibri"/>
                <w:color w:val="1F2937"/>
                <w:sz w:val="17"/>
              </w:rPr>
              <w:t>Categórica</w:t>
            </w:r>
          </w:p>
        </w:tc>
        <w:tc>
          <w:tcPr>
            <w:tcW w:type="dxa" w:w="2736"/>
            <w:shd w:fill="FFFFFF"/>
            <w:tcMar>
              <w:top w:w="80" w:type="dxa"/>
              <w:bottom w:w="80" w:type="dxa"/>
              <w:left w:w="120" w:type="dxa"/>
              <w:right w:w="120" w:type="dxa"/>
            </w:tcMar>
          </w:tcPr>
          <w:p>
            <w:pPr>
              <w:spacing w:before="0" w:after="0"/>
              <w:jc w:val="left"/>
            </w:pPr>
            <w:r>
              <w:rPr>
                <w:rFonts w:ascii="Calibri" w:hAnsi="Calibri"/>
                <w:color w:val="1F2937"/>
                <w:sz w:val="17"/>
              </w:rPr>
              <w:t>Respaldo y almacenamiento en la nube</w:t>
            </w:r>
          </w:p>
        </w:tc>
        <w:tc>
          <w:tcPr>
            <w:tcW w:type="dxa" w:w="2448"/>
            <w:shd w:fill="FFFFFF"/>
            <w:tcMar>
              <w:top w:w="80" w:type="dxa"/>
              <w:bottom w:w="80" w:type="dxa"/>
              <w:left w:w="120" w:type="dxa"/>
              <w:right w:w="120" w:type="dxa"/>
            </w:tcMar>
          </w:tcPr>
          <w:p>
            <w:pPr>
              <w:spacing w:before="0" w:after="0"/>
              <w:jc w:val="left"/>
            </w:pPr>
            <w:r>
              <w:rPr>
                <w:rFonts w:ascii="Calibri" w:hAnsi="Calibri"/>
                <w:color w:val="1F2937"/>
                <w:sz w:val="17"/>
              </w:rPr>
              <w:t>No, Yes, No internet service</w:t>
            </w:r>
          </w:p>
        </w:tc>
      </w:tr>
      <w:tr>
        <w:trPr>
          <w:cantSplit/>
        </w:trPr>
        <w:tc>
          <w:tcPr>
            <w:tcW w:type="dxa" w:w="576"/>
            <w:shd w:fill="F8FAFC"/>
            <w:tcMar>
              <w:top w:w="80" w:type="dxa"/>
              <w:bottom w:w="80" w:type="dxa"/>
              <w:left w:w="120" w:type="dxa"/>
              <w:right w:w="120" w:type="dxa"/>
            </w:tcMar>
          </w:tcPr>
          <w:p>
            <w:pPr>
              <w:spacing w:before="0" w:after="0"/>
              <w:jc w:val="center"/>
            </w:pPr>
            <w:r>
              <w:rPr>
                <w:rFonts w:ascii="Calibri" w:hAnsi="Calibri"/>
                <w:color w:val="1F2937"/>
                <w:sz w:val="17"/>
              </w:rPr>
              <w:t>12</w:t>
            </w:r>
          </w:p>
        </w:tc>
        <w:tc>
          <w:tcPr>
            <w:tcW w:type="dxa" w:w="2016"/>
            <w:shd w:fill="F8FAFC"/>
            <w:tcMar>
              <w:top w:w="80" w:type="dxa"/>
              <w:bottom w:w="80" w:type="dxa"/>
              <w:left w:w="120" w:type="dxa"/>
              <w:right w:w="120" w:type="dxa"/>
            </w:tcMar>
          </w:tcPr>
          <w:p>
            <w:pPr>
              <w:spacing w:before="0" w:after="0"/>
              <w:jc w:val="left"/>
            </w:pPr>
            <w:r>
              <w:rPr>
                <w:rFonts w:ascii="Calibri" w:hAnsi="Calibri"/>
                <w:color w:val="1F2937"/>
                <w:sz w:val="17"/>
              </w:rPr>
              <w:t>DeviceProtection</w:t>
            </w:r>
          </w:p>
        </w:tc>
        <w:tc>
          <w:tcPr>
            <w:tcW w:type="dxa" w:w="1584"/>
            <w:shd w:fill="F8FAFC"/>
            <w:tcMar>
              <w:top w:w="80" w:type="dxa"/>
              <w:bottom w:w="80" w:type="dxa"/>
              <w:left w:w="120" w:type="dxa"/>
              <w:right w:w="120" w:type="dxa"/>
            </w:tcMar>
          </w:tcPr>
          <w:p>
            <w:pPr>
              <w:spacing w:before="0" w:after="0"/>
              <w:jc w:val="left"/>
            </w:pPr>
            <w:r>
              <w:rPr>
                <w:rFonts w:ascii="Calibri" w:hAnsi="Calibri"/>
                <w:color w:val="1F2937"/>
                <w:sz w:val="17"/>
              </w:rPr>
              <w:t>Categórica</w:t>
            </w:r>
          </w:p>
        </w:tc>
        <w:tc>
          <w:tcPr>
            <w:tcW w:type="dxa" w:w="2736"/>
            <w:shd w:fill="F8FAFC"/>
            <w:tcMar>
              <w:top w:w="80" w:type="dxa"/>
              <w:bottom w:w="80" w:type="dxa"/>
              <w:left w:w="120" w:type="dxa"/>
              <w:right w:w="120" w:type="dxa"/>
            </w:tcMar>
          </w:tcPr>
          <w:p>
            <w:pPr>
              <w:spacing w:before="0" w:after="0"/>
              <w:jc w:val="left"/>
            </w:pPr>
            <w:r>
              <w:rPr>
                <w:rFonts w:ascii="Calibri" w:hAnsi="Calibri"/>
                <w:color w:val="1F2937"/>
                <w:sz w:val="17"/>
              </w:rPr>
              <w:t>Seguro y protección de hardware</w:t>
            </w:r>
          </w:p>
        </w:tc>
        <w:tc>
          <w:tcPr>
            <w:tcW w:type="dxa" w:w="2448"/>
            <w:shd w:fill="F8FAFC"/>
            <w:tcMar>
              <w:top w:w="80" w:type="dxa"/>
              <w:bottom w:w="80" w:type="dxa"/>
              <w:left w:w="120" w:type="dxa"/>
              <w:right w:w="120" w:type="dxa"/>
            </w:tcMar>
          </w:tcPr>
          <w:p>
            <w:pPr>
              <w:spacing w:before="0" w:after="0"/>
              <w:jc w:val="left"/>
            </w:pPr>
            <w:r>
              <w:rPr>
                <w:rFonts w:ascii="Calibri" w:hAnsi="Calibri"/>
                <w:color w:val="1F2937"/>
                <w:sz w:val="17"/>
              </w:rPr>
              <w:t>No, Yes, No internet service</w:t>
            </w:r>
          </w:p>
        </w:tc>
      </w:tr>
      <w:tr>
        <w:trPr>
          <w:cantSplit/>
        </w:trPr>
        <w:tc>
          <w:tcPr>
            <w:tcW w:type="dxa" w:w="576"/>
            <w:shd w:fill="FFFFFF"/>
            <w:tcMar>
              <w:top w:w="80" w:type="dxa"/>
              <w:bottom w:w="80" w:type="dxa"/>
              <w:left w:w="120" w:type="dxa"/>
              <w:right w:w="120" w:type="dxa"/>
            </w:tcMar>
          </w:tcPr>
          <w:p>
            <w:pPr>
              <w:spacing w:before="0" w:after="0"/>
              <w:jc w:val="center"/>
            </w:pPr>
            <w:r>
              <w:rPr>
                <w:rFonts w:ascii="Calibri" w:hAnsi="Calibri"/>
                <w:color w:val="1F2937"/>
                <w:sz w:val="17"/>
              </w:rPr>
              <w:t>13</w:t>
            </w:r>
          </w:p>
        </w:tc>
        <w:tc>
          <w:tcPr>
            <w:tcW w:type="dxa" w:w="2016"/>
            <w:shd w:fill="FFFFFF"/>
            <w:tcMar>
              <w:top w:w="80" w:type="dxa"/>
              <w:bottom w:w="80" w:type="dxa"/>
              <w:left w:w="120" w:type="dxa"/>
              <w:right w:w="120" w:type="dxa"/>
            </w:tcMar>
          </w:tcPr>
          <w:p>
            <w:pPr>
              <w:spacing w:before="0" w:after="0"/>
              <w:jc w:val="left"/>
            </w:pPr>
            <w:r>
              <w:rPr>
                <w:rFonts w:ascii="Calibri" w:hAnsi="Calibri"/>
                <w:color w:val="1F2937"/>
                <w:sz w:val="17"/>
              </w:rPr>
              <w:t>TechSupport</w:t>
            </w:r>
          </w:p>
        </w:tc>
        <w:tc>
          <w:tcPr>
            <w:tcW w:type="dxa" w:w="1584"/>
            <w:shd w:fill="FFFFFF"/>
            <w:tcMar>
              <w:top w:w="80" w:type="dxa"/>
              <w:bottom w:w="80" w:type="dxa"/>
              <w:left w:w="120" w:type="dxa"/>
              <w:right w:w="120" w:type="dxa"/>
            </w:tcMar>
          </w:tcPr>
          <w:p>
            <w:pPr>
              <w:spacing w:before="0" w:after="0"/>
              <w:jc w:val="left"/>
            </w:pPr>
            <w:r>
              <w:rPr>
                <w:rFonts w:ascii="Calibri" w:hAnsi="Calibri"/>
                <w:color w:val="1F2937"/>
                <w:sz w:val="17"/>
              </w:rPr>
              <w:t>Categórica</w:t>
            </w:r>
          </w:p>
        </w:tc>
        <w:tc>
          <w:tcPr>
            <w:tcW w:type="dxa" w:w="2736"/>
            <w:shd w:fill="FFFFFF"/>
            <w:tcMar>
              <w:top w:w="80" w:type="dxa"/>
              <w:bottom w:w="80" w:type="dxa"/>
              <w:left w:w="120" w:type="dxa"/>
              <w:right w:w="120" w:type="dxa"/>
            </w:tcMar>
          </w:tcPr>
          <w:p>
            <w:pPr>
              <w:spacing w:before="0" w:after="0"/>
              <w:jc w:val="left"/>
            </w:pPr>
            <w:r>
              <w:rPr>
                <w:rFonts w:ascii="Calibri" w:hAnsi="Calibri"/>
                <w:color w:val="1F2937"/>
                <w:sz w:val="17"/>
              </w:rPr>
              <w:t>Servicio prioritario de soporte técnico</w:t>
            </w:r>
          </w:p>
        </w:tc>
        <w:tc>
          <w:tcPr>
            <w:tcW w:type="dxa" w:w="2448"/>
            <w:shd w:fill="FFFFFF"/>
            <w:tcMar>
              <w:top w:w="80" w:type="dxa"/>
              <w:bottom w:w="80" w:type="dxa"/>
              <w:left w:w="120" w:type="dxa"/>
              <w:right w:w="120" w:type="dxa"/>
            </w:tcMar>
          </w:tcPr>
          <w:p>
            <w:pPr>
              <w:spacing w:before="0" w:after="0"/>
              <w:jc w:val="left"/>
            </w:pPr>
            <w:r>
              <w:rPr>
                <w:rFonts w:ascii="Calibri" w:hAnsi="Calibri"/>
                <w:color w:val="1F2937"/>
                <w:sz w:val="17"/>
              </w:rPr>
              <w:t>No, Yes, No internet service</w:t>
            </w:r>
          </w:p>
        </w:tc>
      </w:tr>
      <w:tr>
        <w:trPr>
          <w:cantSplit/>
        </w:trPr>
        <w:tc>
          <w:tcPr>
            <w:tcW w:type="dxa" w:w="576"/>
            <w:shd w:fill="F8FAFC"/>
            <w:tcMar>
              <w:top w:w="80" w:type="dxa"/>
              <w:bottom w:w="80" w:type="dxa"/>
              <w:left w:w="120" w:type="dxa"/>
              <w:right w:w="120" w:type="dxa"/>
            </w:tcMar>
          </w:tcPr>
          <w:p>
            <w:pPr>
              <w:spacing w:before="0" w:after="0"/>
              <w:jc w:val="center"/>
            </w:pPr>
            <w:r>
              <w:rPr>
                <w:rFonts w:ascii="Calibri" w:hAnsi="Calibri"/>
                <w:color w:val="1F2937"/>
                <w:sz w:val="17"/>
              </w:rPr>
              <w:t>14</w:t>
            </w:r>
          </w:p>
        </w:tc>
        <w:tc>
          <w:tcPr>
            <w:tcW w:type="dxa" w:w="2016"/>
            <w:shd w:fill="F8FAFC"/>
            <w:tcMar>
              <w:top w:w="80" w:type="dxa"/>
              <w:bottom w:w="80" w:type="dxa"/>
              <w:left w:w="120" w:type="dxa"/>
              <w:right w:w="120" w:type="dxa"/>
            </w:tcMar>
          </w:tcPr>
          <w:p>
            <w:pPr>
              <w:spacing w:before="0" w:after="0"/>
              <w:jc w:val="left"/>
            </w:pPr>
            <w:r>
              <w:rPr>
                <w:rFonts w:ascii="Calibri" w:hAnsi="Calibri"/>
                <w:color w:val="1F2937"/>
                <w:sz w:val="17"/>
              </w:rPr>
              <w:t>StreamingTV</w:t>
            </w:r>
          </w:p>
        </w:tc>
        <w:tc>
          <w:tcPr>
            <w:tcW w:type="dxa" w:w="1584"/>
            <w:shd w:fill="F8FAFC"/>
            <w:tcMar>
              <w:top w:w="80" w:type="dxa"/>
              <w:bottom w:w="80" w:type="dxa"/>
              <w:left w:w="120" w:type="dxa"/>
              <w:right w:w="120" w:type="dxa"/>
            </w:tcMar>
          </w:tcPr>
          <w:p>
            <w:pPr>
              <w:spacing w:before="0" w:after="0"/>
              <w:jc w:val="left"/>
            </w:pPr>
            <w:r>
              <w:rPr>
                <w:rFonts w:ascii="Calibri" w:hAnsi="Calibri"/>
                <w:color w:val="1F2937"/>
                <w:sz w:val="17"/>
              </w:rPr>
              <w:t>Categórica</w:t>
            </w:r>
          </w:p>
        </w:tc>
        <w:tc>
          <w:tcPr>
            <w:tcW w:type="dxa" w:w="2736"/>
            <w:shd w:fill="F8FAFC"/>
            <w:tcMar>
              <w:top w:w="80" w:type="dxa"/>
              <w:bottom w:w="80" w:type="dxa"/>
              <w:left w:w="120" w:type="dxa"/>
              <w:right w:w="120" w:type="dxa"/>
            </w:tcMar>
          </w:tcPr>
          <w:p>
            <w:pPr>
              <w:spacing w:before="0" w:after="0"/>
              <w:jc w:val="left"/>
            </w:pPr>
            <w:r>
              <w:rPr>
                <w:rFonts w:ascii="Calibri" w:hAnsi="Calibri"/>
                <w:color w:val="1F2937"/>
                <w:sz w:val="17"/>
              </w:rPr>
              <w:t>Transmisión de televisión por internet</w:t>
            </w:r>
          </w:p>
        </w:tc>
        <w:tc>
          <w:tcPr>
            <w:tcW w:type="dxa" w:w="2448"/>
            <w:shd w:fill="F8FAFC"/>
            <w:tcMar>
              <w:top w:w="80" w:type="dxa"/>
              <w:bottom w:w="80" w:type="dxa"/>
              <w:left w:w="120" w:type="dxa"/>
              <w:right w:w="120" w:type="dxa"/>
            </w:tcMar>
          </w:tcPr>
          <w:p>
            <w:pPr>
              <w:spacing w:before="0" w:after="0"/>
              <w:jc w:val="left"/>
            </w:pPr>
            <w:r>
              <w:rPr>
                <w:rFonts w:ascii="Calibri" w:hAnsi="Calibri"/>
                <w:color w:val="1F2937"/>
                <w:sz w:val="17"/>
              </w:rPr>
              <w:t>No, Yes, No internet service</w:t>
            </w:r>
          </w:p>
        </w:tc>
      </w:tr>
      <w:tr>
        <w:trPr>
          <w:cantSplit/>
        </w:trPr>
        <w:tc>
          <w:tcPr>
            <w:tcW w:type="dxa" w:w="576"/>
            <w:shd w:fill="FFFFFF"/>
            <w:tcMar>
              <w:top w:w="80" w:type="dxa"/>
              <w:bottom w:w="80" w:type="dxa"/>
              <w:left w:w="120" w:type="dxa"/>
              <w:right w:w="120" w:type="dxa"/>
            </w:tcMar>
          </w:tcPr>
          <w:p>
            <w:pPr>
              <w:spacing w:before="0" w:after="0"/>
              <w:jc w:val="center"/>
            </w:pPr>
            <w:r>
              <w:rPr>
                <w:rFonts w:ascii="Calibri" w:hAnsi="Calibri"/>
                <w:color w:val="1F2937"/>
                <w:sz w:val="17"/>
              </w:rPr>
              <w:t>15</w:t>
            </w:r>
          </w:p>
        </w:tc>
        <w:tc>
          <w:tcPr>
            <w:tcW w:type="dxa" w:w="2016"/>
            <w:shd w:fill="FFFFFF"/>
            <w:tcMar>
              <w:top w:w="80" w:type="dxa"/>
              <w:bottom w:w="80" w:type="dxa"/>
              <w:left w:w="120" w:type="dxa"/>
              <w:right w:w="120" w:type="dxa"/>
            </w:tcMar>
          </w:tcPr>
          <w:p>
            <w:pPr>
              <w:spacing w:before="0" w:after="0"/>
              <w:jc w:val="left"/>
            </w:pPr>
            <w:r>
              <w:rPr>
                <w:rFonts w:ascii="Calibri" w:hAnsi="Calibri"/>
                <w:color w:val="1F2937"/>
                <w:sz w:val="17"/>
              </w:rPr>
              <w:t>StreamingMovies</w:t>
            </w:r>
          </w:p>
        </w:tc>
        <w:tc>
          <w:tcPr>
            <w:tcW w:type="dxa" w:w="1584"/>
            <w:shd w:fill="FFFFFF"/>
            <w:tcMar>
              <w:top w:w="80" w:type="dxa"/>
              <w:bottom w:w="80" w:type="dxa"/>
              <w:left w:w="120" w:type="dxa"/>
              <w:right w:w="120" w:type="dxa"/>
            </w:tcMar>
          </w:tcPr>
          <w:p>
            <w:pPr>
              <w:spacing w:before="0" w:after="0"/>
              <w:jc w:val="left"/>
            </w:pPr>
            <w:r>
              <w:rPr>
                <w:rFonts w:ascii="Calibri" w:hAnsi="Calibri"/>
                <w:color w:val="1F2937"/>
                <w:sz w:val="17"/>
              </w:rPr>
              <w:t>Categórica</w:t>
            </w:r>
          </w:p>
        </w:tc>
        <w:tc>
          <w:tcPr>
            <w:tcW w:type="dxa" w:w="2736"/>
            <w:shd w:fill="FFFFFF"/>
            <w:tcMar>
              <w:top w:w="80" w:type="dxa"/>
              <w:bottom w:w="80" w:type="dxa"/>
              <w:left w:w="120" w:type="dxa"/>
              <w:right w:w="120" w:type="dxa"/>
            </w:tcMar>
          </w:tcPr>
          <w:p>
            <w:pPr>
              <w:spacing w:before="0" w:after="0"/>
              <w:jc w:val="left"/>
            </w:pPr>
            <w:r>
              <w:rPr>
                <w:rFonts w:ascii="Calibri" w:hAnsi="Calibri"/>
                <w:color w:val="1F2937"/>
                <w:sz w:val="17"/>
              </w:rPr>
              <w:t>Transmisión de películas vía streaming</w:t>
            </w:r>
          </w:p>
        </w:tc>
        <w:tc>
          <w:tcPr>
            <w:tcW w:type="dxa" w:w="2448"/>
            <w:shd w:fill="FFFFFF"/>
            <w:tcMar>
              <w:top w:w="80" w:type="dxa"/>
              <w:bottom w:w="80" w:type="dxa"/>
              <w:left w:w="120" w:type="dxa"/>
              <w:right w:w="120" w:type="dxa"/>
            </w:tcMar>
          </w:tcPr>
          <w:p>
            <w:pPr>
              <w:spacing w:before="0" w:after="0"/>
              <w:jc w:val="left"/>
            </w:pPr>
            <w:r>
              <w:rPr>
                <w:rFonts w:ascii="Calibri" w:hAnsi="Calibri"/>
                <w:color w:val="1F2937"/>
                <w:sz w:val="17"/>
              </w:rPr>
              <w:t>No, Yes, No internet service</w:t>
            </w:r>
          </w:p>
        </w:tc>
      </w:tr>
      <w:tr>
        <w:trPr>
          <w:cantSplit/>
        </w:trPr>
        <w:tc>
          <w:tcPr>
            <w:tcW w:type="dxa" w:w="576"/>
            <w:shd w:fill="F8FAFC"/>
            <w:tcMar>
              <w:top w:w="80" w:type="dxa"/>
              <w:bottom w:w="80" w:type="dxa"/>
              <w:left w:w="120" w:type="dxa"/>
              <w:right w:w="120" w:type="dxa"/>
            </w:tcMar>
          </w:tcPr>
          <w:p>
            <w:pPr>
              <w:spacing w:before="0" w:after="0"/>
              <w:jc w:val="center"/>
            </w:pPr>
            <w:r>
              <w:rPr>
                <w:rFonts w:ascii="Calibri" w:hAnsi="Calibri"/>
                <w:color w:val="1F2937"/>
                <w:sz w:val="17"/>
              </w:rPr>
              <w:t>16</w:t>
            </w:r>
          </w:p>
        </w:tc>
        <w:tc>
          <w:tcPr>
            <w:tcW w:type="dxa" w:w="2016"/>
            <w:shd w:fill="F8FAFC"/>
            <w:tcMar>
              <w:top w:w="80" w:type="dxa"/>
              <w:bottom w:w="80" w:type="dxa"/>
              <w:left w:w="120" w:type="dxa"/>
              <w:right w:w="120" w:type="dxa"/>
            </w:tcMar>
          </w:tcPr>
          <w:p>
            <w:pPr>
              <w:spacing w:before="0" w:after="0"/>
              <w:jc w:val="left"/>
            </w:pPr>
            <w:r>
              <w:rPr>
                <w:rFonts w:ascii="Calibri" w:hAnsi="Calibri"/>
                <w:color w:val="1F2937"/>
                <w:sz w:val="17"/>
              </w:rPr>
              <w:t>Contract</w:t>
            </w:r>
          </w:p>
        </w:tc>
        <w:tc>
          <w:tcPr>
            <w:tcW w:type="dxa" w:w="1584"/>
            <w:shd w:fill="F8FAFC"/>
            <w:tcMar>
              <w:top w:w="80" w:type="dxa"/>
              <w:bottom w:w="80" w:type="dxa"/>
              <w:left w:w="120" w:type="dxa"/>
              <w:right w:w="120" w:type="dxa"/>
            </w:tcMar>
          </w:tcPr>
          <w:p>
            <w:pPr>
              <w:spacing w:before="0" w:after="0"/>
              <w:jc w:val="left"/>
            </w:pPr>
            <w:r>
              <w:rPr>
                <w:rFonts w:ascii="Calibri" w:hAnsi="Calibri"/>
                <w:color w:val="1F2937"/>
                <w:sz w:val="17"/>
              </w:rPr>
              <w:t>Categórica</w:t>
            </w:r>
          </w:p>
        </w:tc>
        <w:tc>
          <w:tcPr>
            <w:tcW w:type="dxa" w:w="2736"/>
            <w:shd w:fill="F8FAFC"/>
            <w:tcMar>
              <w:top w:w="80" w:type="dxa"/>
              <w:bottom w:w="80" w:type="dxa"/>
              <w:left w:w="120" w:type="dxa"/>
              <w:right w:w="120" w:type="dxa"/>
            </w:tcMar>
          </w:tcPr>
          <w:p>
            <w:pPr>
              <w:spacing w:before="0" w:after="0"/>
              <w:jc w:val="left"/>
            </w:pPr>
            <w:r>
              <w:rPr>
                <w:rFonts w:ascii="Calibri" w:hAnsi="Calibri"/>
                <w:color w:val="1F2937"/>
                <w:sz w:val="17"/>
              </w:rPr>
              <w:t>Modalidad y duración contractual</w:t>
            </w:r>
          </w:p>
        </w:tc>
        <w:tc>
          <w:tcPr>
            <w:tcW w:type="dxa" w:w="2448"/>
            <w:shd w:fill="F8FAFC"/>
            <w:tcMar>
              <w:top w:w="80" w:type="dxa"/>
              <w:bottom w:w="80" w:type="dxa"/>
              <w:left w:w="120" w:type="dxa"/>
              <w:right w:w="120" w:type="dxa"/>
            </w:tcMar>
          </w:tcPr>
          <w:p>
            <w:pPr>
              <w:spacing w:before="0" w:after="0"/>
              <w:jc w:val="left"/>
            </w:pPr>
            <w:r>
              <w:rPr>
                <w:rFonts w:ascii="Calibri" w:hAnsi="Calibri"/>
                <w:color w:val="1F2937"/>
                <w:sz w:val="17"/>
              </w:rPr>
              <w:t>Month-to-month, One year, Two year</w:t>
            </w:r>
          </w:p>
        </w:tc>
      </w:tr>
      <w:tr>
        <w:trPr>
          <w:cantSplit/>
        </w:trPr>
        <w:tc>
          <w:tcPr>
            <w:tcW w:type="dxa" w:w="576"/>
            <w:shd w:fill="FFFFFF"/>
            <w:tcMar>
              <w:top w:w="80" w:type="dxa"/>
              <w:bottom w:w="80" w:type="dxa"/>
              <w:left w:w="120" w:type="dxa"/>
              <w:right w:w="120" w:type="dxa"/>
            </w:tcMar>
          </w:tcPr>
          <w:p>
            <w:pPr>
              <w:spacing w:before="0" w:after="0"/>
              <w:jc w:val="center"/>
            </w:pPr>
            <w:r>
              <w:rPr>
                <w:rFonts w:ascii="Calibri" w:hAnsi="Calibri"/>
                <w:color w:val="1F2937"/>
                <w:sz w:val="17"/>
              </w:rPr>
              <w:t>17</w:t>
            </w:r>
          </w:p>
        </w:tc>
        <w:tc>
          <w:tcPr>
            <w:tcW w:type="dxa" w:w="2016"/>
            <w:shd w:fill="FFFFFF"/>
            <w:tcMar>
              <w:top w:w="80" w:type="dxa"/>
              <w:bottom w:w="80" w:type="dxa"/>
              <w:left w:w="120" w:type="dxa"/>
              <w:right w:w="120" w:type="dxa"/>
            </w:tcMar>
          </w:tcPr>
          <w:p>
            <w:pPr>
              <w:spacing w:before="0" w:after="0"/>
              <w:jc w:val="left"/>
            </w:pPr>
            <w:r>
              <w:rPr>
                <w:rFonts w:ascii="Calibri" w:hAnsi="Calibri"/>
                <w:color w:val="1F2937"/>
                <w:sz w:val="17"/>
              </w:rPr>
              <w:t>PaperlessBilling</w:t>
            </w:r>
          </w:p>
        </w:tc>
        <w:tc>
          <w:tcPr>
            <w:tcW w:type="dxa" w:w="1584"/>
            <w:shd w:fill="FFFFFF"/>
            <w:tcMar>
              <w:top w:w="80" w:type="dxa"/>
              <w:bottom w:w="80" w:type="dxa"/>
              <w:left w:w="120" w:type="dxa"/>
              <w:right w:w="120" w:type="dxa"/>
            </w:tcMar>
          </w:tcPr>
          <w:p>
            <w:pPr>
              <w:spacing w:before="0" w:after="0"/>
              <w:jc w:val="left"/>
            </w:pPr>
            <w:r>
              <w:rPr>
                <w:rFonts w:ascii="Calibri" w:hAnsi="Calibri"/>
                <w:color w:val="1F2937"/>
                <w:sz w:val="17"/>
              </w:rPr>
              <w:t>Categórica</w:t>
            </w:r>
          </w:p>
        </w:tc>
        <w:tc>
          <w:tcPr>
            <w:tcW w:type="dxa" w:w="2736"/>
            <w:shd w:fill="FFFFFF"/>
            <w:tcMar>
              <w:top w:w="80" w:type="dxa"/>
              <w:bottom w:w="80" w:type="dxa"/>
              <w:left w:w="120" w:type="dxa"/>
              <w:right w:w="120" w:type="dxa"/>
            </w:tcMar>
          </w:tcPr>
          <w:p>
            <w:pPr>
              <w:spacing w:before="0" w:after="0"/>
              <w:jc w:val="left"/>
            </w:pPr>
            <w:r>
              <w:rPr>
                <w:rFonts w:ascii="Calibri" w:hAnsi="Calibri"/>
                <w:color w:val="1F2937"/>
                <w:sz w:val="17"/>
              </w:rPr>
              <w:t>Facturación electrónica sin papel</w:t>
            </w:r>
          </w:p>
        </w:tc>
        <w:tc>
          <w:tcPr>
            <w:tcW w:type="dxa" w:w="2448"/>
            <w:shd w:fill="FFFFFF"/>
            <w:tcMar>
              <w:top w:w="80" w:type="dxa"/>
              <w:bottom w:w="80" w:type="dxa"/>
              <w:left w:w="120" w:type="dxa"/>
              <w:right w:w="120" w:type="dxa"/>
            </w:tcMar>
          </w:tcPr>
          <w:p>
            <w:pPr>
              <w:spacing w:before="0" w:after="0"/>
              <w:jc w:val="left"/>
            </w:pPr>
            <w:r>
              <w:rPr>
                <w:rFonts w:ascii="Calibri" w:hAnsi="Calibri"/>
                <w:color w:val="1F2937"/>
                <w:sz w:val="17"/>
              </w:rPr>
              <w:t>Yes, No</w:t>
            </w:r>
          </w:p>
        </w:tc>
      </w:tr>
      <w:tr>
        <w:trPr>
          <w:cantSplit/>
        </w:trPr>
        <w:tc>
          <w:tcPr>
            <w:tcW w:type="dxa" w:w="576"/>
            <w:shd w:fill="F8FAFC"/>
            <w:tcMar>
              <w:top w:w="80" w:type="dxa"/>
              <w:bottom w:w="80" w:type="dxa"/>
              <w:left w:w="120" w:type="dxa"/>
              <w:right w:w="120" w:type="dxa"/>
            </w:tcMar>
          </w:tcPr>
          <w:p>
            <w:pPr>
              <w:spacing w:before="0" w:after="0"/>
              <w:jc w:val="center"/>
            </w:pPr>
            <w:r>
              <w:rPr>
                <w:rFonts w:ascii="Calibri" w:hAnsi="Calibri"/>
                <w:color w:val="1F2937"/>
                <w:sz w:val="17"/>
              </w:rPr>
              <w:t>18</w:t>
            </w:r>
          </w:p>
        </w:tc>
        <w:tc>
          <w:tcPr>
            <w:tcW w:type="dxa" w:w="2016"/>
            <w:shd w:fill="F8FAFC"/>
            <w:tcMar>
              <w:top w:w="80" w:type="dxa"/>
              <w:bottom w:w="80" w:type="dxa"/>
              <w:left w:w="120" w:type="dxa"/>
              <w:right w:w="120" w:type="dxa"/>
            </w:tcMar>
          </w:tcPr>
          <w:p>
            <w:pPr>
              <w:spacing w:before="0" w:after="0"/>
              <w:jc w:val="left"/>
            </w:pPr>
            <w:r>
              <w:rPr>
                <w:rFonts w:ascii="Calibri" w:hAnsi="Calibri"/>
                <w:color w:val="1F2937"/>
                <w:sz w:val="17"/>
              </w:rPr>
              <w:t>PaymentMethod</w:t>
            </w:r>
          </w:p>
        </w:tc>
        <w:tc>
          <w:tcPr>
            <w:tcW w:type="dxa" w:w="1584"/>
            <w:shd w:fill="F8FAFC"/>
            <w:tcMar>
              <w:top w:w="80" w:type="dxa"/>
              <w:bottom w:w="80" w:type="dxa"/>
              <w:left w:w="120" w:type="dxa"/>
              <w:right w:w="120" w:type="dxa"/>
            </w:tcMar>
          </w:tcPr>
          <w:p>
            <w:pPr>
              <w:spacing w:before="0" w:after="0"/>
              <w:jc w:val="left"/>
            </w:pPr>
            <w:r>
              <w:rPr>
                <w:rFonts w:ascii="Calibri" w:hAnsi="Calibri"/>
                <w:color w:val="1F2937"/>
                <w:sz w:val="17"/>
              </w:rPr>
              <w:t>Categórica</w:t>
            </w:r>
          </w:p>
        </w:tc>
        <w:tc>
          <w:tcPr>
            <w:tcW w:type="dxa" w:w="2736"/>
            <w:shd w:fill="F8FAFC"/>
            <w:tcMar>
              <w:top w:w="80" w:type="dxa"/>
              <w:bottom w:w="80" w:type="dxa"/>
              <w:left w:w="120" w:type="dxa"/>
              <w:right w:w="120" w:type="dxa"/>
            </w:tcMar>
          </w:tcPr>
          <w:p>
            <w:pPr>
              <w:spacing w:before="0" w:after="0"/>
              <w:jc w:val="left"/>
            </w:pPr>
            <w:r>
              <w:rPr>
                <w:rFonts w:ascii="Calibri" w:hAnsi="Calibri"/>
                <w:color w:val="1F2937"/>
                <w:sz w:val="17"/>
              </w:rPr>
              <w:t>Canal de pago utilizado para las facturas</w:t>
            </w:r>
          </w:p>
        </w:tc>
        <w:tc>
          <w:tcPr>
            <w:tcW w:type="dxa" w:w="2448"/>
            <w:shd w:fill="F8FAFC"/>
            <w:tcMar>
              <w:top w:w="80" w:type="dxa"/>
              <w:bottom w:w="80" w:type="dxa"/>
              <w:left w:w="120" w:type="dxa"/>
              <w:right w:w="120" w:type="dxa"/>
            </w:tcMar>
          </w:tcPr>
          <w:p>
            <w:pPr>
              <w:spacing w:before="0" w:after="0"/>
              <w:jc w:val="left"/>
            </w:pPr>
            <w:r>
              <w:rPr>
                <w:rFonts w:ascii="Calibri" w:hAnsi="Calibri"/>
                <w:color w:val="1F2937"/>
                <w:sz w:val="17"/>
              </w:rPr>
              <w:t>Electronic check, Mailed check, Bank transfer, Credit card</w:t>
            </w:r>
          </w:p>
        </w:tc>
      </w:tr>
      <w:tr>
        <w:trPr>
          <w:cantSplit/>
        </w:trPr>
        <w:tc>
          <w:tcPr>
            <w:tcW w:type="dxa" w:w="576"/>
            <w:shd w:fill="FFFFFF"/>
            <w:tcMar>
              <w:top w:w="80" w:type="dxa"/>
              <w:bottom w:w="80" w:type="dxa"/>
              <w:left w:w="120" w:type="dxa"/>
              <w:right w:w="120" w:type="dxa"/>
            </w:tcMar>
          </w:tcPr>
          <w:p>
            <w:pPr>
              <w:spacing w:before="0" w:after="0"/>
              <w:jc w:val="center"/>
            </w:pPr>
            <w:r>
              <w:rPr>
                <w:rFonts w:ascii="Calibri" w:hAnsi="Calibri"/>
                <w:color w:val="1F2937"/>
                <w:sz w:val="17"/>
              </w:rPr>
              <w:t>19</w:t>
            </w:r>
          </w:p>
        </w:tc>
        <w:tc>
          <w:tcPr>
            <w:tcW w:type="dxa" w:w="2016"/>
            <w:shd w:fill="FFFFFF"/>
            <w:tcMar>
              <w:top w:w="80" w:type="dxa"/>
              <w:bottom w:w="80" w:type="dxa"/>
              <w:left w:w="120" w:type="dxa"/>
              <w:right w:w="120" w:type="dxa"/>
            </w:tcMar>
          </w:tcPr>
          <w:p>
            <w:pPr>
              <w:spacing w:before="0" w:after="0"/>
              <w:jc w:val="left"/>
            </w:pPr>
            <w:r>
              <w:rPr>
                <w:rFonts w:ascii="Calibri" w:hAnsi="Calibri"/>
                <w:color w:val="1F2937"/>
                <w:sz w:val="17"/>
              </w:rPr>
              <w:t>MonthlyCharges</w:t>
            </w:r>
          </w:p>
        </w:tc>
        <w:tc>
          <w:tcPr>
            <w:tcW w:type="dxa" w:w="1584"/>
            <w:shd w:fill="FFFFFF"/>
            <w:tcMar>
              <w:top w:w="80" w:type="dxa"/>
              <w:bottom w:w="80" w:type="dxa"/>
              <w:left w:w="120" w:type="dxa"/>
              <w:right w:w="120" w:type="dxa"/>
            </w:tcMar>
          </w:tcPr>
          <w:p>
            <w:pPr>
              <w:spacing w:before="0" w:after="0"/>
              <w:jc w:val="left"/>
            </w:pPr>
            <w:r>
              <w:rPr>
                <w:rFonts w:ascii="Calibri" w:hAnsi="Calibri"/>
                <w:color w:val="1F2937"/>
                <w:sz w:val="17"/>
              </w:rPr>
              <w:t>Numérica (float64)</w:t>
            </w:r>
          </w:p>
        </w:tc>
        <w:tc>
          <w:tcPr>
            <w:tcW w:type="dxa" w:w="2736"/>
            <w:shd w:fill="FFFFFF"/>
            <w:tcMar>
              <w:top w:w="80" w:type="dxa"/>
              <w:bottom w:w="80" w:type="dxa"/>
              <w:left w:w="120" w:type="dxa"/>
              <w:right w:w="120" w:type="dxa"/>
            </w:tcMar>
          </w:tcPr>
          <w:p>
            <w:pPr>
              <w:spacing w:before="0" w:after="0"/>
              <w:jc w:val="left"/>
            </w:pPr>
            <w:r>
              <w:rPr>
                <w:rFonts w:ascii="Calibri" w:hAnsi="Calibri"/>
                <w:color w:val="1F2937"/>
                <w:sz w:val="17"/>
              </w:rPr>
              <w:t>Monto facturado mensual</w:t>
            </w:r>
          </w:p>
        </w:tc>
        <w:tc>
          <w:tcPr>
            <w:tcW w:type="dxa" w:w="2448"/>
            <w:shd w:fill="FFFFFF"/>
            <w:tcMar>
              <w:top w:w="80" w:type="dxa"/>
              <w:bottom w:w="80" w:type="dxa"/>
              <w:left w:w="120" w:type="dxa"/>
              <w:right w:w="120" w:type="dxa"/>
            </w:tcMar>
          </w:tcPr>
          <w:p>
            <w:pPr>
              <w:spacing w:before="0" w:after="0"/>
              <w:jc w:val="left"/>
            </w:pPr>
            <w:r>
              <w:rPr>
                <w:rFonts w:ascii="Calibri" w:hAnsi="Calibri"/>
                <w:color w:val="1F2937"/>
                <w:sz w:val="17"/>
              </w:rPr>
              <w:t>$18.25 a $118.75</w:t>
            </w:r>
          </w:p>
        </w:tc>
      </w:tr>
      <w:tr>
        <w:trPr>
          <w:cantSplit/>
        </w:trPr>
        <w:tc>
          <w:tcPr>
            <w:tcW w:type="dxa" w:w="576"/>
            <w:shd w:fill="F8FAFC"/>
            <w:tcMar>
              <w:top w:w="80" w:type="dxa"/>
              <w:bottom w:w="80" w:type="dxa"/>
              <w:left w:w="120" w:type="dxa"/>
              <w:right w:w="120" w:type="dxa"/>
            </w:tcMar>
          </w:tcPr>
          <w:p>
            <w:pPr>
              <w:spacing w:before="0" w:after="0"/>
              <w:jc w:val="center"/>
            </w:pPr>
            <w:r>
              <w:rPr>
                <w:rFonts w:ascii="Calibri" w:hAnsi="Calibri"/>
                <w:color w:val="1F2937"/>
                <w:sz w:val="17"/>
              </w:rPr>
              <w:t>20</w:t>
            </w:r>
          </w:p>
        </w:tc>
        <w:tc>
          <w:tcPr>
            <w:tcW w:type="dxa" w:w="2016"/>
            <w:shd w:fill="F8FAFC"/>
            <w:tcMar>
              <w:top w:w="80" w:type="dxa"/>
              <w:bottom w:w="80" w:type="dxa"/>
              <w:left w:w="120" w:type="dxa"/>
              <w:right w:w="120" w:type="dxa"/>
            </w:tcMar>
          </w:tcPr>
          <w:p>
            <w:pPr>
              <w:spacing w:before="0" w:after="0"/>
              <w:jc w:val="left"/>
            </w:pPr>
            <w:r>
              <w:rPr>
                <w:rFonts w:ascii="Calibri" w:hAnsi="Calibri"/>
                <w:color w:val="1F2937"/>
                <w:sz w:val="17"/>
              </w:rPr>
              <w:t>TotalCharges</w:t>
            </w:r>
          </w:p>
        </w:tc>
        <w:tc>
          <w:tcPr>
            <w:tcW w:type="dxa" w:w="1584"/>
            <w:shd w:fill="F8FAFC"/>
            <w:tcMar>
              <w:top w:w="80" w:type="dxa"/>
              <w:bottom w:w="80" w:type="dxa"/>
              <w:left w:w="120" w:type="dxa"/>
              <w:right w:w="120" w:type="dxa"/>
            </w:tcMar>
          </w:tcPr>
          <w:p>
            <w:pPr>
              <w:spacing w:before="0" w:after="0"/>
              <w:jc w:val="left"/>
            </w:pPr>
            <w:r>
              <w:rPr>
                <w:rFonts w:ascii="Calibri" w:hAnsi="Calibri"/>
                <w:color w:val="1F2937"/>
                <w:sz w:val="17"/>
              </w:rPr>
              <w:t>Numérica (float64)</w:t>
            </w:r>
          </w:p>
        </w:tc>
        <w:tc>
          <w:tcPr>
            <w:tcW w:type="dxa" w:w="2736"/>
            <w:shd w:fill="F8FAFC"/>
            <w:tcMar>
              <w:top w:w="80" w:type="dxa"/>
              <w:bottom w:w="80" w:type="dxa"/>
              <w:left w:w="120" w:type="dxa"/>
              <w:right w:w="120" w:type="dxa"/>
            </w:tcMar>
          </w:tcPr>
          <w:p>
            <w:pPr>
              <w:spacing w:before="0" w:after="0"/>
              <w:jc w:val="left"/>
            </w:pPr>
            <w:r>
              <w:rPr>
                <w:rFonts w:ascii="Calibri" w:hAnsi="Calibri"/>
                <w:color w:val="1F2937"/>
                <w:sz w:val="17"/>
              </w:rPr>
              <w:t>Monto acumulado total facturado</w:t>
            </w:r>
          </w:p>
        </w:tc>
        <w:tc>
          <w:tcPr>
            <w:tcW w:type="dxa" w:w="2448"/>
            <w:shd w:fill="F8FAFC"/>
            <w:tcMar>
              <w:top w:w="80" w:type="dxa"/>
              <w:bottom w:w="80" w:type="dxa"/>
              <w:left w:w="120" w:type="dxa"/>
              <w:right w:w="120" w:type="dxa"/>
            </w:tcMar>
          </w:tcPr>
          <w:p>
            <w:pPr>
              <w:spacing w:before="0" w:after="0"/>
              <w:jc w:val="left"/>
            </w:pPr>
            <w:r>
              <w:rPr>
                <w:rFonts w:ascii="Calibri" w:hAnsi="Calibri"/>
                <w:color w:val="1F2937"/>
                <w:sz w:val="17"/>
              </w:rPr>
              <w:t>$0.00 a $8,684.80 (Tratada por anomalía)</w:t>
            </w:r>
          </w:p>
        </w:tc>
      </w:tr>
      <w:tr>
        <w:trPr>
          <w:cantSplit/>
        </w:trPr>
        <w:tc>
          <w:tcPr>
            <w:tcW w:type="dxa" w:w="576"/>
            <w:shd w:fill="FFFFFF"/>
            <w:tcMar>
              <w:top w:w="80" w:type="dxa"/>
              <w:bottom w:w="80" w:type="dxa"/>
              <w:left w:w="120" w:type="dxa"/>
              <w:right w:w="120" w:type="dxa"/>
            </w:tcMar>
          </w:tcPr>
          <w:p>
            <w:pPr>
              <w:spacing w:before="0" w:after="0"/>
              <w:jc w:val="center"/>
            </w:pPr>
            <w:r>
              <w:rPr>
                <w:rFonts w:ascii="Calibri" w:hAnsi="Calibri"/>
                <w:color w:val="1F2937"/>
                <w:sz w:val="17"/>
              </w:rPr>
              <w:t>21</w:t>
            </w:r>
          </w:p>
        </w:tc>
        <w:tc>
          <w:tcPr>
            <w:tcW w:type="dxa" w:w="2016"/>
            <w:shd w:fill="FFFFFF"/>
            <w:tcMar>
              <w:top w:w="80" w:type="dxa"/>
              <w:bottom w:w="80" w:type="dxa"/>
              <w:left w:w="120" w:type="dxa"/>
              <w:right w:w="120" w:type="dxa"/>
            </w:tcMar>
          </w:tcPr>
          <w:p>
            <w:pPr>
              <w:spacing w:before="0" w:after="0"/>
              <w:jc w:val="left"/>
            </w:pPr>
            <w:r>
              <w:rPr>
                <w:rFonts w:ascii="Calibri" w:hAnsi="Calibri"/>
                <w:color w:val="1F2937"/>
                <w:sz w:val="17"/>
              </w:rPr>
              <w:t>Churn</w:t>
            </w:r>
          </w:p>
        </w:tc>
        <w:tc>
          <w:tcPr>
            <w:tcW w:type="dxa" w:w="1584"/>
            <w:shd w:fill="FFFFFF"/>
            <w:tcMar>
              <w:top w:w="80" w:type="dxa"/>
              <w:bottom w:w="80" w:type="dxa"/>
              <w:left w:w="120" w:type="dxa"/>
              <w:right w:w="120" w:type="dxa"/>
            </w:tcMar>
          </w:tcPr>
          <w:p>
            <w:pPr>
              <w:spacing w:before="0" w:after="0"/>
              <w:jc w:val="left"/>
            </w:pPr>
            <w:r>
              <w:rPr>
                <w:rFonts w:ascii="Calibri" w:hAnsi="Calibri"/>
                <w:color w:val="1F2937"/>
                <w:sz w:val="17"/>
              </w:rPr>
              <w:t>Categórica</w:t>
            </w:r>
          </w:p>
        </w:tc>
        <w:tc>
          <w:tcPr>
            <w:tcW w:type="dxa" w:w="2736"/>
            <w:shd w:fill="FFFFFF"/>
            <w:tcMar>
              <w:top w:w="80" w:type="dxa"/>
              <w:bottom w:w="80" w:type="dxa"/>
              <w:left w:w="120" w:type="dxa"/>
              <w:right w:w="120" w:type="dxa"/>
            </w:tcMar>
          </w:tcPr>
          <w:p>
            <w:pPr>
              <w:spacing w:before="0" w:after="0"/>
              <w:jc w:val="left"/>
            </w:pPr>
            <w:r>
              <w:rPr>
                <w:rFonts w:ascii="Calibri" w:hAnsi="Calibri"/>
                <w:color w:val="1F2937"/>
                <w:sz w:val="17"/>
              </w:rPr>
              <w:t>Variable Objetivo: ¿Abandonó el cliente?</w:t>
            </w:r>
          </w:p>
        </w:tc>
        <w:tc>
          <w:tcPr>
            <w:tcW w:type="dxa" w:w="2448"/>
            <w:shd w:fill="FFFFFF"/>
            <w:tcMar>
              <w:top w:w="80" w:type="dxa"/>
              <w:bottom w:w="80" w:type="dxa"/>
              <w:left w:w="120" w:type="dxa"/>
              <w:right w:w="120" w:type="dxa"/>
            </w:tcMar>
          </w:tcPr>
          <w:p>
            <w:pPr>
              <w:spacing w:before="0" w:after="0"/>
              <w:jc w:val="left"/>
            </w:pPr>
            <w:r>
              <w:rPr>
                <w:rFonts w:ascii="Calibri" w:hAnsi="Calibri"/>
                <w:color w:val="1F2937"/>
                <w:sz w:val="17"/>
              </w:rPr>
              <w:t>No (5.174 / 73,5%), Yes (1.869 / 26,5%)</w:t>
            </w:r>
          </w:p>
        </w:tc>
      </w:tr>
    </w:tbl>
    <w:p>
      <w:pPr>
        <w:spacing w:before="0" w:after="120"/>
      </w:pPr>
    </w:p>
    <w:p>
      <w:pPr>
        <w:keepNext/>
        <w:spacing w:before="320" w:after="80"/>
      </w:pPr>
      <w:r>
        <w:rPr>
          <w:rFonts w:ascii="Calibri" w:hAnsi="Calibri"/>
          <w:b/>
          <w:color w:val="1B365D"/>
          <w:sz w:val="29"/>
        </w:rPr>
        <w:t>5. Calidad de Datos y Data Wrangling</w:t>
      </w:r>
    </w:p>
    <w:p>
      <w:pPr>
        <w:spacing w:before="0" w:after="80" w:line="276" w:lineRule="auto"/>
      </w:pPr>
      <w:r>
        <w:rPr>
          <w:rFonts w:ascii="Calibri" w:hAnsi="Calibri"/>
          <w:color w:val="1F2937"/>
          <w:sz w:val="20"/>
        </w:rPr>
        <w:t>Durante la fase de auditoría técnica se identificaron dos aspectos relevantes de calidad de datos:</w:t>
      </w:r>
    </w:p>
    <w:p>
      <w:pPr>
        <w:pStyle w:val="ListBullet"/>
        <w:spacing w:before="0" w:after="50" w:line="276" w:lineRule="auto"/>
        <w:ind w:left="360"/>
      </w:pPr>
      <w:r>
        <w:rPr>
          <w:rFonts w:ascii="Calibri" w:hAnsi="Calibri"/>
          <w:b/>
          <w:color w:val="1F2937"/>
          <w:sz w:val="20"/>
        </w:rPr>
        <w:t xml:space="preserve">1. Anomalía en TotalCharges: </w:t>
      </w:r>
      <w:r>
        <w:rPr>
          <w:rFonts w:ascii="Calibri" w:hAnsi="Calibri"/>
          <w:color w:val="1F2937"/>
          <w:sz w:val="20"/>
        </w:rPr>
        <w:t>La columna presentaba tipo de dato object (cadena de texto) debido a la existencia de 11 observaciones con espacios en blanco (' ') en lugar de valores numéricos. Al cruzar estos 11 registros se constató que todos corresponden a clientes con antigüedad igual a cero (tenure == 0) y contratos a plazo (1 o 2 años). Se trata de clientes que contrataron el servicio en el período corriente y aún no completaron su primer ciclo de facturación. Tratamiento Aplicado: Se convirtieron a tipo numérico imputando dichos registros con $0.00. Esta decisión preserva el 100% de la muestra sin introducir distorsiones estadísticas.</w:t>
      </w:r>
    </w:p>
    <w:p>
      <w:pPr>
        <w:pStyle w:val="ListBullet"/>
        <w:spacing w:before="0" w:after="50" w:line="276" w:lineRule="auto"/>
        <w:ind w:left="360"/>
      </w:pPr>
      <w:r>
        <w:rPr>
          <w:rFonts w:ascii="Calibri" w:hAnsi="Calibri"/>
          <w:b/>
          <w:color w:val="1F2937"/>
          <w:sz w:val="20"/>
        </w:rPr>
        <w:t xml:space="preserve">2. Eliminación de customerID: </w:t>
      </w:r>
      <w:r>
        <w:rPr>
          <w:rFonts w:ascii="Calibri" w:hAnsi="Calibri"/>
          <w:color w:val="1F2937"/>
          <w:sz w:val="20"/>
        </w:rPr>
        <w:t>Al ser una clave alfanumérica unívoca con cardinalidad igual al total de filas (7.043 valores únicos), no aporta información generalizable y generaría sobreajuste en caso de no descartarse.</w:t>
      </w:r>
    </w:p>
    <w:p>
      <w:pPr>
        <w:keepNext/>
        <w:spacing w:before="320" w:after="80"/>
      </w:pPr>
      <w:r>
        <w:rPr>
          <w:rFonts w:ascii="Calibri" w:hAnsi="Calibri"/>
          <w:b/>
          <w:color w:val="1B365D"/>
          <w:sz w:val="29"/>
        </w:rPr>
        <w:t>6. Análisis Exploratorio de Datos (EDA) y Contraste de Hipótesis</w:t>
      </w:r>
    </w:p>
    <w:p>
      <w:pPr>
        <w:keepNext/>
        <w:spacing w:before="220" w:after="60"/>
      </w:pPr>
      <w:r>
        <w:rPr>
          <w:rFonts w:ascii="Calibri" w:hAnsi="Calibri"/>
          <w:b/>
          <w:color w:val="2B5B84"/>
          <w:sz w:val="24"/>
        </w:rPr>
        <w:t>6.1 Distribución de la Variable Objetivo (Churn)</w:t>
      </w:r>
    </w:p>
    <w:p>
      <w:pPr>
        <w:keepNext/>
        <w:spacing w:before="120" w:after="40"/>
        <w:jc w:val="center"/>
      </w:pPr>
      <w:r>
        <w:drawing>
          <wp:inline xmlns:a="http://schemas.openxmlformats.org/drawingml/2006/main" xmlns:pic="http://schemas.openxmlformats.org/drawingml/2006/picture">
            <wp:extent cx="5303520" cy="2039815"/>
            <wp:docPr id="1" name="Picture 1"/>
            <wp:cNvGraphicFramePr>
              <a:graphicFrameLocks noChangeAspect="1"/>
            </wp:cNvGraphicFramePr>
            <a:graphic>
              <a:graphicData uri="http://schemas.openxmlformats.org/drawingml/2006/picture">
                <pic:pic>
                  <pic:nvPicPr>
                    <pic:cNvPr id="0" name="fig1_churn_distribution.png"/>
                    <pic:cNvPicPr/>
                  </pic:nvPicPr>
                  <pic:blipFill>
                    <a:blip r:embed="rId11"/>
                    <a:stretch>
                      <a:fillRect/>
                    </a:stretch>
                  </pic:blipFill>
                  <pic:spPr>
                    <a:xfrm>
                      <a:off x="0" y="0"/>
                      <a:ext cx="5303520" cy="2039815"/>
                    </a:xfrm>
                    <a:prstGeom prst="rect"/>
                  </pic:spPr>
                </pic:pic>
              </a:graphicData>
            </a:graphic>
          </wp:inline>
        </w:drawing>
      </w:r>
    </w:p>
    <w:p>
      <w:pPr>
        <w:spacing w:before="40" w:after="160"/>
        <w:jc w:val="center"/>
      </w:pPr>
      <w:r>
        <w:rPr>
          <w:rFonts w:ascii="Calibri" w:hAnsi="Calibri"/>
          <w:i/>
          <w:color w:val="4B5563"/>
          <w:sz w:val="18"/>
        </w:rPr>
        <w:t>Figura 1: Distribución Absoluta y Relativa de Churn en el Dataset (5.174 Retenidos vs. 1.869 Bajas)</w:t>
      </w:r>
    </w:p>
    <w:p>
      <w:pPr>
        <w:spacing w:before="0" w:after="80" w:line="276" w:lineRule="auto"/>
      </w:pPr>
      <w:r>
        <w:rPr>
          <w:rFonts w:ascii="Calibri" w:hAnsi="Calibri"/>
          <w:color w:val="1F2937"/>
          <w:sz w:val="20"/>
        </w:rPr>
        <w:t>Observación: Se confirma la distribución de 5.174 clientes retenidos (~73,5%) y 1.869 clientes que abandonaron (~26,5%). El desbalance moderado fundamenta la adopción de esquemas de estratificación y penalización por pesos en el entrenamiento.</w:t>
      </w:r>
    </w:p>
    <w:p>
      <w:pPr>
        <w:keepNext/>
        <w:spacing w:before="220" w:after="60"/>
      </w:pPr>
      <w:r>
        <w:rPr>
          <w:rFonts w:ascii="Calibri" w:hAnsi="Calibri"/>
          <w:b/>
          <w:color w:val="2B5B84"/>
          <w:sz w:val="24"/>
        </w:rPr>
        <w:t>6.2 Análisis Univariado de Variables Numéricas</w:t>
      </w:r>
    </w:p>
    <w:p>
      <w:pPr>
        <w:keepNext/>
        <w:spacing w:before="120" w:after="40"/>
        <w:jc w:val="center"/>
      </w:pPr>
      <w:r>
        <w:drawing>
          <wp:inline xmlns:a="http://schemas.openxmlformats.org/drawingml/2006/main" xmlns:pic="http://schemas.openxmlformats.org/drawingml/2006/picture">
            <wp:extent cx="5303520" cy="2320290"/>
            <wp:docPr id="2" name="Picture 2"/>
            <wp:cNvGraphicFramePr>
              <a:graphicFrameLocks noChangeAspect="1"/>
            </wp:cNvGraphicFramePr>
            <a:graphic>
              <a:graphicData uri="http://schemas.openxmlformats.org/drawingml/2006/picture">
                <pic:pic>
                  <pic:nvPicPr>
                    <pic:cNvPr id="0" name="fig2_numerical_distributions.png"/>
                    <pic:cNvPicPr/>
                  </pic:nvPicPr>
                  <pic:blipFill>
                    <a:blip r:embed="rId12"/>
                    <a:stretch>
                      <a:fillRect/>
                    </a:stretch>
                  </pic:blipFill>
                  <pic:spPr>
                    <a:xfrm>
                      <a:off x="0" y="0"/>
                      <a:ext cx="5303520" cy="2320290"/>
                    </a:xfrm>
                    <a:prstGeom prst="rect"/>
                  </pic:spPr>
                </pic:pic>
              </a:graphicData>
            </a:graphic>
          </wp:inline>
        </w:drawing>
      </w:r>
    </w:p>
    <w:p>
      <w:pPr>
        <w:spacing w:before="40" w:after="160"/>
        <w:jc w:val="center"/>
      </w:pPr>
      <w:r>
        <w:rPr>
          <w:rFonts w:ascii="Calibri" w:hAnsi="Calibri"/>
          <w:i/>
          <w:color w:val="4B5563"/>
          <w:sz w:val="18"/>
        </w:rPr>
        <w:t>Figura 2: Histogramas con KDE y Diagramas de Caja de Variables Numéricas (tenure, MonthlyCharges, TotalCharges)</w:t>
      </w:r>
    </w:p>
    <w:p>
      <w:pPr>
        <w:keepNext/>
        <w:spacing w:before="160" w:after="40"/>
      </w:pPr>
      <w:r>
        <w:rPr>
          <w:rFonts w:ascii="Calibri" w:hAnsi="Calibri"/>
          <w:b/>
          <w:color w:val="1F2937"/>
          <w:sz w:val="21"/>
        </w:rPr>
        <w:t>Resumen Estadístico de Variables Continuas: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rPr>
          <w:tblHeader/>
          <w:cantSplit/>
        </w:trP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8"/>
              </w:rPr>
              <w:t>Variable</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8"/>
              </w:rPr>
              <w:t>Media</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8"/>
              </w:rPr>
              <w:t>Desvío Est.</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8"/>
              </w:rPr>
              <w:t>Mínimo</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8"/>
              </w:rPr>
              <w:t>Mediana (50%)</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8"/>
              </w:rPr>
              <w:t>Máximo</w:t>
            </w:r>
          </w:p>
        </w:tc>
        <w:tc>
          <w:tcPr>
            <w:tcW w:type="dxa" w:w="2016"/>
            <w:shd w:fill="1B365D"/>
            <w:tcMar>
              <w:top w:w="100" w:type="dxa"/>
              <w:bottom w:w="100" w:type="dxa"/>
              <w:left w:w="120" w:type="dxa"/>
              <w:right w:w="120" w:type="dxa"/>
            </w:tcMar>
          </w:tcPr>
          <w:p>
            <w:pPr>
              <w:spacing w:before="0" w:after="0"/>
              <w:jc w:val="left"/>
            </w:pPr>
            <w:r>
              <w:rPr>
                <w:rFonts w:ascii="Calibri" w:hAnsi="Calibri"/>
                <w:b/>
                <w:color w:val="FFFFFF"/>
                <w:sz w:val="18"/>
              </w:rPr>
              <w:t>Asimetría (Skewness)</w:t>
            </w:r>
          </w:p>
        </w:tc>
      </w:tr>
      <w:tr>
        <w:trPr>
          <w:cantSplit/>
        </w:trPr>
        <w:tc>
          <w:tcPr>
            <w:tcW w:type="dxa" w:w="2160"/>
            <w:shd w:fill="FFFFFF"/>
            <w:tcMar>
              <w:top w:w="80" w:type="dxa"/>
              <w:bottom w:w="80" w:type="dxa"/>
              <w:left w:w="120" w:type="dxa"/>
              <w:right w:w="120" w:type="dxa"/>
            </w:tcMar>
          </w:tcPr>
          <w:p>
            <w:pPr>
              <w:spacing w:before="0" w:after="0"/>
              <w:jc w:val="left"/>
            </w:pPr>
            <w:r>
              <w:rPr>
                <w:rFonts w:ascii="Calibri" w:hAnsi="Calibri"/>
                <w:color w:val="1F2937"/>
                <w:sz w:val="17"/>
              </w:rPr>
              <w:t>tenure (meses)</w:t>
            </w:r>
          </w:p>
        </w:tc>
        <w:tc>
          <w:tcPr>
            <w:tcW w:type="dxa" w:w="1152"/>
            <w:shd w:fill="FFFFFF"/>
            <w:tcMar>
              <w:top w:w="80" w:type="dxa"/>
              <w:bottom w:w="80" w:type="dxa"/>
              <w:left w:w="120" w:type="dxa"/>
              <w:right w:w="120" w:type="dxa"/>
            </w:tcMar>
          </w:tcPr>
          <w:p>
            <w:pPr>
              <w:spacing w:before="0" w:after="0"/>
              <w:jc w:val="right"/>
            </w:pPr>
            <w:r>
              <w:rPr>
                <w:rFonts w:ascii="Calibri" w:hAnsi="Calibri"/>
                <w:color w:val="1F2937"/>
                <w:sz w:val="17"/>
              </w:rPr>
              <w:t>32.37</w:t>
            </w:r>
          </w:p>
        </w:tc>
        <w:tc>
          <w:tcPr>
            <w:tcW w:type="dxa" w:w="1296"/>
            <w:shd w:fill="FFFFFF"/>
            <w:tcMar>
              <w:top w:w="80" w:type="dxa"/>
              <w:bottom w:w="80" w:type="dxa"/>
              <w:left w:w="120" w:type="dxa"/>
              <w:right w:w="120" w:type="dxa"/>
            </w:tcMar>
          </w:tcPr>
          <w:p>
            <w:pPr>
              <w:spacing w:before="0" w:after="0"/>
              <w:jc w:val="right"/>
            </w:pPr>
            <w:r>
              <w:rPr>
                <w:rFonts w:ascii="Calibri" w:hAnsi="Calibri"/>
                <w:color w:val="1F2937"/>
                <w:sz w:val="17"/>
              </w:rPr>
              <w:t>24.56</w:t>
            </w:r>
          </w:p>
        </w:tc>
        <w:tc>
          <w:tcPr>
            <w:tcW w:type="dxa" w:w="1152"/>
            <w:shd w:fill="FFFFFF"/>
            <w:tcMar>
              <w:top w:w="80" w:type="dxa"/>
              <w:bottom w:w="80" w:type="dxa"/>
              <w:left w:w="120" w:type="dxa"/>
              <w:right w:w="120" w:type="dxa"/>
            </w:tcMar>
          </w:tcPr>
          <w:p>
            <w:pPr>
              <w:spacing w:before="0" w:after="0"/>
              <w:jc w:val="right"/>
            </w:pPr>
            <w:r>
              <w:rPr>
                <w:rFonts w:ascii="Calibri" w:hAnsi="Calibri"/>
                <w:color w:val="1F2937"/>
                <w:sz w:val="17"/>
              </w:rPr>
              <w:t>0.00</w:t>
            </w:r>
          </w:p>
        </w:tc>
        <w:tc>
          <w:tcPr>
            <w:tcW w:type="dxa" w:w="1296"/>
            <w:shd w:fill="FFFFFF"/>
            <w:tcMar>
              <w:top w:w="80" w:type="dxa"/>
              <w:bottom w:w="80" w:type="dxa"/>
              <w:left w:w="120" w:type="dxa"/>
              <w:right w:w="120" w:type="dxa"/>
            </w:tcMar>
          </w:tcPr>
          <w:p>
            <w:pPr>
              <w:spacing w:before="0" w:after="0"/>
              <w:jc w:val="right"/>
            </w:pPr>
            <w:r>
              <w:rPr>
                <w:rFonts w:ascii="Calibri" w:hAnsi="Calibri"/>
                <w:color w:val="1F2937"/>
                <w:sz w:val="17"/>
              </w:rPr>
              <w:t>29.00</w:t>
            </w:r>
          </w:p>
        </w:tc>
        <w:tc>
          <w:tcPr>
            <w:tcW w:type="dxa" w:w="1152"/>
            <w:shd w:fill="FFFFFF"/>
            <w:tcMar>
              <w:top w:w="80" w:type="dxa"/>
              <w:bottom w:w="80" w:type="dxa"/>
              <w:left w:w="120" w:type="dxa"/>
              <w:right w:w="120" w:type="dxa"/>
            </w:tcMar>
          </w:tcPr>
          <w:p>
            <w:pPr>
              <w:spacing w:before="0" w:after="0"/>
              <w:jc w:val="right"/>
            </w:pPr>
            <w:r>
              <w:rPr>
                <w:rFonts w:ascii="Calibri" w:hAnsi="Calibri"/>
                <w:color w:val="1F2937"/>
                <w:sz w:val="17"/>
              </w:rPr>
              <w:t>72.00</w:t>
            </w:r>
          </w:p>
        </w:tc>
        <w:tc>
          <w:tcPr>
            <w:tcW w:type="dxa" w:w="2016"/>
            <w:shd w:fill="FFFFFF"/>
            <w:tcMar>
              <w:top w:w="80" w:type="dxa"/>
              <w:bottom w:w="80" w:type="dxa"/>
              <w:left w:w="120" w:type="dxa"/>
              <w:right w:w="120" w:type="dxa"/>
            </w:tcMar>
          </w:tcPr>
          <w:p>
            <w:pPr>
              <w:spacing w:before="0" w:after="0"/>
              <w:jc w:val="left"/>
            </w:pPr>
            <w:r>
              <w:rPr>
                <w:rFonts w:ascii="Calibri" w:hAnsi="Calibri"/>
                <w:color w:val="1F2937"/>
                <w:sz w:val="17"/>
              </w:rPr>
              <w:t>+0.24 (Bimodal)</w:t>
            </w:r>
          </w:p>
        </w:tc>
      </w:tr>
      <w:tr>
        <w:trPr>
          <w:cantSplit/>
        </w:trPr>
        <w:tc>
          <w:tcPr>
            <w:tcW w:type="dxa" w:w="2160"/>
            <w:shd w:fill="F8FAFC"/>
            <w:tcMar>
              <w:top w:w="80" w:type="dxa"/>
              <w:bottom w:w="80" w:type="dxa"/>
              <w:left w:w="120" w:type="dxa"/>
              <w:right w:w="120" w:type="dxa"/>
            </w:tcMar>
          </w:tcPr>
          <w:p>
            <w:pPr>
              <w:spacing w:before="0" w:after="0"/>
              <w:jc w:val="left"/>
            </w:pPr>
            <w:r>
              <w:rPr>
                <w:rFonts w:ascii="Calibri" w:hAnsi="Calibri"/>
                <w:color w:val="1F2937"/>
                <w:sz w:val="17"/>
              </w:rPr>
              <w:t>MonthlyCharges ($)</w:t>
            </w:r>
          </w:p>
        </w:tc>
        <w:tc>
          <w:tcPr>
            <w:tcW w:type="dxa" w:w="1152"/>
            <w:shd w:fill="F8FAFC"/>
            <w:tcMar>
              <w:top w:w="80" w:type="dxa"/>
              <w:bottom w:w="80" w:type="dxa"/>
              <w:left w:w="120" w:type="dxa"/>
              <w:right w:w="120" w:type="dxa"/>
            </w:tcMar>
          </w:tcPr>
          <w:p>
            <w:pPr>
              <w:spacing w:before="0" w:after="0"/>
              <w:jc w:val="right"/>
            </w:pPr>
            <w:r>
              <w:rPr>
                <w:rFonts w:ascii="Calibri" w:hAnsi="Calibri"/>
                <w:color w:val="1F2937"/>
                <w:sz w:val="17"/>
              </w:rPr>
              <w:t>64.76</w:t>
            </w:r>
          </w:p>
        </w:tc>
        <w:tc>
          <w:tcPr>
            <w:tcW w:type="dxa" w:w="1296"/>
            <w:shd w:fill="F8FAFC"/>
            <w:tcMar>
              <w:top w:w="80" w:type="dxa"/>
              <w:bottom w:w="80" w:type="dxa"/>
              <w:left w:w="120" w:type="dxa"/>
              <w:right w:w="120" w:type="dxa"/>
            </w:tcMar>
          </w:tcPr>
          <w:p>
            <w:pPr>
              <w:spacing w:before="0" w:after="0"/>
              <w:jc w:val="right"/>
            </w:pPr>
            <w:r>
              <w:rPr>
                <w:rFonts w:ascii="Calibri" w:hAnsi="Calibri"/>
                <w:color w:val="1F2937"/>
                <w:sz w:val="17"/>
              </w:rPr>
              <w:t>30.09</w:t>
            </w:r>
          </w:p>
        </w:tc>
        <w:tc>
          <w:tcPr>
            <w:tcW w:type="dxa" w:w="1152"/>
            <w:shd w:fill="F8FAFC"/>
            <w:tcMar>
              <w:top w:w="80" w:type="dxa"/>
              <w:bottom w:w="80" w:type="dxa"/>
              <w:left w:w="120" w:type="dxa"/>
              <w:right w:w="120" w:type="dxa"/>
            </w:tcMar>
          </w:tcPr>
          <w:p>
            <w:pPr>
              <w:spacing w:before="0" w:after="0"/>
              <w:jc w:val="right"/>
            </w:pPr>
            <w:r>
              <w:rPr>
                <w:rFonts w:ascii="Calibri" w:hAnsi="Calibri"/>
                <w:color w:val="1F2937"/>
                <w:sz w:val="17"/>
              </w:rPr>
              <w:t>18.25</w:t>
            </w:r>
          </w:p>
        </w:tc>
        <w:tc>
          <w:tcPr>
            <w:tcW w:type="dxa" w:w="1296"/>
            <w:shd w:fill="F8FAFC"/>
            <w:tcMar>
              <w:top w:w="80" w:type="dxa"/>
              <w:bottom w:w="80" w:type="dxa"/>
              <w:left w:w="120" w:type="dxa"/>
              <w:right w:w="120" w:type="dxa"/>
            </w:tcMar>
          </w:tcPr>
          <w:p>
            <w:pPr>
              <w:spacing w:before="0" w:after="0"/>
              <w:jc w:val="right"/>
            </w:pPr>
            <w:r>
              <w:rPr>
                <w:rFonts w:ascii="Calibri" w:hAnsi="Calibri"/>
                <w:color w:val="1F2937"/>
                <w:sz w:val="17"/>
              </w:rPr>
              <w:t>70.35</w:t>
            </w:r>
          </w:p>
        </w:tc>
        <w:tc>
          <w:tcPr>
            <w:tcW w:type="dxa" w:w="1152"/>
            <w:shd w:fill="F8FAFC"/>
            <w:tcMar>
              <w:top w:w="80" w:type="dxa"/>
              <w:bottom w:w="80" w:type="dxa"/>
              <w:left w:w="120" w:type="dxa"/>
              <w:right w:w="120" w:type="dxa"/>
            </w:tcMar>
          </w:tcPr>
          <w:p>
            <w:pPr>
              <w:spacing w:before="0" w:after="0"/>
              <w:jc w:val="right"/>
            </w:pPr>
            <w:r>
              <w:rPr>
                <w:rFonts w:ascii="Calibri" w:hAnsi="Calibri"/>
                <w:color w:val="1F2937"/>
                <w:sz w:val="17"/>
              </w:rPr>
              <w:t>118.75</w:t>
            </w:r>
          </w:p>
        </w:tc>
        <w:tc>
          <w:tcPr>
            <w:tcW w:type="dxa" w:w="2016"/>
            <w:shd w:fill="F8FAFC"/>
            <w:tcMar>
              <w:top w:w="80" w:type="dxa"/>
              <w:bottom w:w="80" w:type="dxa"/>
              <w:left w:w="120" w:type="dxa"/>
              <w:right w:w="120" w:type="dxa"/>
            </w:tcMar>
          </w:tcPr>
          <w:p>
            <w:pPr>
              <w:spacing w:before="0" w:after="0"/>
              <w:jc w:val="left"/>
            </w:pPr>
            <w:r>
              <w:rPr>
                <w:rFonts w:ascii="Calibri" w:hAnsi="Calibri"/>
                <w:color w:val="1F2937"/>
                <w:sz w:val="17"/>
              </w:rPr>
              <w:t>-0.22 (Bimodal)</w:t>
            </w:r>
          </w:p>
        </w:tc>
      </w:tr>
      <w:tr>
        <w:trPr>
          <w:cantSplit/>
        </w:trPr>
        <w:tc>
          <w:tcPr>
            <w:tcW w:type="dxa" w:w="2160"/>
            <w:shd w:fill="FFFFFF"/>
            <w:tcMar>
              <w:top w:w="80" w:type="dxa"/>
              <w:bottom w:w="80" w:type="dxa"/>
              <w:left w:w="120" w:type="dxa"/>
              <w:right w:w="120" w:type="dxa"/>
            </w:tcMar>
          </w:tcPr>
          <w:p>
            <w:pPr>
              <w:spacing w:before="0" w:after="0"/>
              <w:jc w:val="left"/>
            </w:pPr>
            <w:r>
              <w:rPr>
                <w:rFonts w:ascii="Calibri" w:hAnsi="Calibri"/>
                <w:color w:val="1F2937"/>
                <w:sz w:val="17"/>
              </w:rPr>
              <w:t>TotalCharges ($)</w:t>
            </w:r>
          </w:p>
        </w:tc>
        <w:tc>
          <w:tcPr>
            <w:tcW w:type="dxa" w:w="1152"/>
            <w:shd w:fill="FFFFFF"/>
            <w:tcMar>
              <w:top w:w="80" w:type="dxa"/>
              <w:bottom w:w="80" w:type="dxa"/>
              <w:left w:w="120" w:type="dxa"/>
              <w:right w:w="120" w:type="dxa"/>
            </w:tcMar>
          </w:tcPr>
          <w:p>
            <w:pPr>
              <w:spacing w:before="0" w:after="0"/>
              <w:jc w:val="right"/>
            </w:pPr>
            <w:r>
              <w:rPr>
                <w:rFonts w:ascii="Calibri" w:hAnsi="Calibri"/>
                <w:color w:val="1F2937"/>
                <w:sz w:val="17"/>
              </w:rPr>
              <w:t>2279.73</w:t>
            </w:r>
          </w:p>
        </w:tc>
        <w:tc>
          <w:tcPr>
            <w:tcW w:type="dxa" w:w="1296"/>
            <w:shd w:fill="FFFFFF"/>
            <w:tcMar>
              <w:top w:w="80" w:type="dxa"/>
              <w:bottom w:w="80" w:type="dxa"/>
              <w:left w:w="120" w:type="dxa"/>
              <w:right w:w="120" w:type="dxa"/>
            </w:tcMar>
          </w:tcPr>
          <w:p>
            <w:pPr>
              <w:spacing w:before="0" w:after="0"/>
              <w:jc w:val="right"/>
            </w:pPr>
            <w:r>
              <w:rPr>
                <w:rFonts w:ascii="Calibri" w:hAnsi="Calibri"/>
                <w:color w:val="1F2937"/>
                <w:sz w:val="17"/>
              </w:rPr>
              <w:t>2266.79</w:t>
            </w:r>
          </w:p>
        </w:tc>
        <w:tc>
          <w:tcPr>
            <w:tcW w:type="dxa" w:w="1152"/>
            <w:shd w:fill="FFFFFF"/>
            <w:tcMar>
              <w:top w:w="80" w:type="dxa"/>
              <w:bottom w:w="80" w:type="dxa"/>
              <w:left w:w="120" w:type="dxa"/>
              <w:right w:w="120" w:type="dxa"/>
            </w:tcMar>
          </w:tcPr>
          <w:p>
            <w:pPr>
              <w:spacing w:before="0" w:after="0"/>
              <w:jc w:val="right"/>
            </w:pPr>
            <w:r>
              <w:rPr>
                <w:rFonts w:ascii="Calibri" w:hAnsi="Calibri"/>
                <w:color w:val="1F2937"/>
                <w:sz w:val="17"/>
              </w:rPr>
              <w:t>0.00</w:t>
            </w:r>
          </w:p>
        </w:tc>
        <w:tc>
          <w:tcPr>
            <w:tcW w:type="dxa" w:w="1296"/>
            <w:shd w:fill="FFFFFF"/>
            <w:tcMar>
              <w:top w:w="80" w:type="dxa"/>
              <w:bottom w:w="80" w:type="dxa"/>
              <w:left w:w="120" w:type="dxa"/>
              <w:right w:w="120" w:type="dxa"/>
            </w:tcMar>
          </w:tcPr>
          <w:p>
            <w:pPr>
              <w:spacing w:before="0" w:after="0"/>
              <w:jc w:val="right"/>
            </w:pPr>
            <w:r>
              <w:rPr>
                <w:rFonts w:ascii="Calibri" w:hAnsi="Calibri"/>
                <w:color w:val="1F2937"/>
                <w:sz w:val="17"/>
              </w:rPr>
              <w:t>1394.55</w:t>
            </w:r>
          </w:p>
        </w:tc>
        <w:tc>
          <w:tcPr>
            <w:tcW w:type="dxa" w:w="1152"/>
            <w:shd w:fill="FFFFFF"/>
            <w:tcMar>
              <w:top w:w="80" w:type="dxa"/>
              <w:bottom w:w="80" w:type="dxa"/>
              <w:left w:w="120" w:type="dxa"/>
              <w:right w:w="120" w:type="dxa"/>
            </w:tcMar>
          </w:tcPr>
          <w:p>
            <w:pPr>
              <w:spacing w:before="0" w:after="0"/>
              <w:jc w:val="right"/>
            </w:pPr>
            <w:r>
              <w:rPr>
                <w:rFonts w:ascii="Calibri" w:hAnsi="Calibri"/>
                <w:color w:val="1F2937"/>
                <w:sz w:val="17"/>
              </w:rPr>
              <w:t>8684.80</w:t>
            </w:r>
          </w:p>
        </w:tc>
        <w:tc>
          <w:tcPr>
            <w:tcW w:type="dxa" w:w="2016"/>
            <w:shd w:fill="FFFFFF"/>
            <w:tcMar>
              <w:top w:w="80" w:type="dxa"/>
              <w:bottom w:w="80" w:type="dxa"/>
              <w:left w:w="120" w:type="dxa"/>
              <w:right w:w="120" w:type="dxa"/>
            </w:tcMar>
          </w:tcPr>
          <w:p>
            <w:pPr>
              <w:spacing w:before="0" w:after="0"/>
              <w:jc w:val="left"/>
            </w:pPr>
            <w:r>
              <w:rPr>
                <w:rFonts w:ascii="Calibri" w:hAnsi="Calibri"/>
                <w:color w:val="1F2937"/>
                <w:sz w:val="17"/>
              </w:rPr>
              <w:t>+0.96 (Sesgo Positivo)</w:t>
            </w:r>
          </w:p>
        </w:tc>
      </w:tr>
    </w:tbl>
    <w:p>
      <w:pPr>
        <w:spacing w:before="0" w:after="120"/>
      </w:pPr>
    </w:p>
    <w:p>
      <w:pPr>
        <w:pStyle w:val="ListBullet"/>
        <w:spacing w:before="0" w:after="50" w:line="276" w:lineRule="auto"/>
        <w:ind w:left="360"/>
      </w:pPr>
      <w:r>
        <w:rPr>
          <w:rFonts w:ascii="Calibri" w:hAnsi="Calibri"/>
          <w:b/>
          <w:color w:val="1F2937"/>
          <w:sz w:val="20"/>
        </w:rPr>
        <w:t xml:space="preserve">tenure: </w:t>
      </w:r>
      <w:r>
        <w:rPr>
          <w:rFonts w:ascii="Calibri" w:hAnsi="Calibri"/>
          <w:color w:val="1F2937"/>
          <w:sz w:val="20"/>
        </w:rPr>
        <w:t>Exhibe una marcada bimodalidad. Hay una masa importante de clientes nuevos (primeros meses de contratación) y otro bloque consolidado con más de 65 meses.</w:t>
      </w:r>
    </w:p>
    <w:p>
      <w:pPr>
        <w:pStyle w:val="ListBullet"/>
        <w:spacing w:before="0" w:after="50" w:line="276" w:lineRule="auto"/>
        <w:ind w:left="360"/>
      </w:pPr>
      <w:r>
        <w:rPr>
          <w:rFonts w:ascii="Calibri" w:hAnsi="Calibri"/>
          <w:b/>
          <w:color w:val="1F2937"/>
          <w:sz w:val="20"/>
        </w:rPr>
        <w:t xml:space="preserve">MonthlyCharges: </w:t>
      </w:r>
      <w:r>
        <w:rPr>
          <w:rFonts w:ascii="Calibri" w:hAnsi="Calibri"/>
          <w:color w:val="1F2937"/>
          <w:sz w:val="20"/>
        </w:rPr>
        <w:t>Concentra un primer pico en planes básicos de $20/mes (sólo telefonía) y una segunda meseta en el rango de $70 a $105/mes (planes de conectividad por fibra con servicios multimedia).</w:t>
      </w:r>
    </w:p>
    <w:p>
      <w:pPr>
        <w:pStyle w:val="ListBullet"/>
        <w:spacing w:before="0" w:after="50" w:line="276" w:lineRule="auto"/>
        <w:ind w:left="360"/>
      </w:pPr>
      <w:r>
        <w:rPr>
          <w:rFonts w:ascii="Calibri" w:hAnsi="Calibri"/>
          <w:b/>
          <w:color w:val="1F2937"/>
          <w:sz w:val="20"/>
        </w:rPr>
        <w:t xml:space="preserve">TotalCharges: </w:t>
      </w:r>
      <w:r>
        <w:rPr>
          <w:rFonts w:ascii="Calibri" w:hAnsi="Calibri"/>
          <w:color w:val="1F2937"/>
          <w:sz w:val="20"/>
        </w:rPr>
        <w:t>Distribución asimétrica hacia la derecha sin valores atípicos que excedan la lógica operativa.</w:t>
      </w:r>
    </w:p>
    <w:p>
      <w:pPr>
        <w:keepNext/>
        <w:spacing w:before="220" w:after="60"/>
      </w:pPr>
      <w:r>
        <w:rPr>
          <w:rFonts w:ascii="Calibri" w:hAnsi="Calibri"/>
          <w:b/>
          <w:color w:val="2B5B84"/>
          <w:sz w:val="24"/>
        </w:rPr>
        <w:t>6.3 Análisis Univariado de Variables Categóricas</w:t>
      </w:r>
    </w:p>
    <w:p>
      <w:pPr>
        <w:keepNext/>
        <w:spacing w:before="120" w:after="40"/>
        <w:jc w:val="center"/>
      </w:pPr>
      <w:r>
        <w:drawing>
          <wp:inline xmlns:a="http://schemas.openxmlformats.org/drawingml/2006/main" xmlns:pic="http://schemas.openxmlformats.org/drawingml/2006/picture">
            <wp:extent cx="5303520" cy="2807746"/>
            <wp:docPr id="3" name="Picture 3"/>
            <wp:cNvGraphicFramePr>
              <a:graphicFrameLocks noChangeAspect="1"/>
            </wp:cNvGraphicFramePr>
            <a:graphic>
              <a:graphicData uri="http://schemas.openxmlformats.org/drawingml/2006/picture">
                <pic:pic>
                  <pic:nvPicPr>
                    <pic:cNvPr id="0" name="fig3_categorical_distributions.png"/>
                    <pic:cNvPicPr/>
                  </pic:nvPicPr>
                  <pic:blipFill>
                    <a:blip r:embed="rId13"/>
                    <a:stretch>
                      <a:fillRect/>
                    </a:stretch>
                  </pic:blipFill>
                  <pic:spPr>
                    <a:xfrm>
                      <a:off x="0" y="0"/>
                      <a:ext cx="5303520" cy="2807746"/>
                    </a:xfrm>
                    <a:prstGeom prst="rect"/>
                  </pic:spPr>
                </pic:pic>
              </a:graphicData>
            </a:graphic>
          </wp:inline>
        </w:drawing>
      </w:r>
    </w:p>
    <w:p>
      <w:pPr>
        <w:spacing w:before="40" w:after="160"/>
        <w:jc w:val="center"/>
      </w:pPr>
      <w:r>
        <w:rPr>
          <w:rFonts w:ascii="Calibri" w:hAnsi="Calibri"/>
          <w:i/>
          <w:color w:val="4B5563"/>
          <w:sz w:val="18"/>
        </w:rPr>
        <w:t>Figura 3: Distribución Porcentual de Atributos Categóricos Clave</w:t>
      </w:r>
    </w:p>
    <w:p>
      <w:pPr>
        <w:pStyle w:val="ListBullet"/>
        <w:spacing w:before="0" w:after="50" w:line="276" w:lineRule="auto"/>
        <w:ind w:left="360"/>
      </w:pPr>
      <w:r>
        <w:rPr>
          <w:rFonts w:ascii="Calibri" w:hAnsi="Calibri"/>
          <w:color w:val="1F2937"/>
          <w:sz w:val="20"/>
        </w:rPr>
        <w:t>Más del 55% de los clientes tienen contratado un plan mes a mes (Month-to-month).</w:t>
      </w:r>
    </w:p>
    <w:p>
      <w:pPr>
        <w:pStyle w:val="ListBullet"/>
        <w:spacing w:before="0" w:after="50" w:line="276" w:lineRule="auto"/>
        <w:ind w:left="360"/>
      </w:pPr>
      <w:r>
        <w:rPr>
          <w:rFonts w:ascii="Calibri" w:hAnsi="Calibri"/>
          <w:color w:val="1F2937"/>
          <w:sz w:val="20"/>
        </w:rPr>
        <w:t>El método de pago con mayor volumen es el cheque electrónico (Electronic check), con un 33,6% de participación.</w:t>
      </w:r>
    </w:p>
    <w:p>
      <w:pPr>
        <w:keepNext/>
        <w:spacing w:before="220" w:after="60"/>
      </w:pPr>
      <w:r>
        <w:rPr>
          <w:rFonts w:ascii="Calibri" w:hAnsi="Calibri"/>
          <w:b/>
          <w:color w:val="2B5B84"/>
          <w:sz w:val="24"/>
        </w:rPr>
        <w:t>6.4 Análisis Bivariado y Contraste Empírico de Hipótesis</w:t>
      </w:r>
    </w:p>
    <w:p>
      <w:pPr>
        <w:spacing w:before="0" w:after="80" w:line="276" w:lineRule="auto"/>
      </w:pPr>
      <w:r>
        <w:rPr>
          <w:rFonts w:ascii="Calibri" w:hAnsi="Calibri"/>
          <w:color w:val="1F2937"/>
          <w:sz w:val="20"/>
        </w:rPr>
        <w:t>A continuación se contrastan las 4 hipótesis fundamentales definidas en el marco del proyecto:</w:t>
      </w:r>
    </w:p>
    <w:p>
      <w:pPr>
        <w:keepNext/>
        <w:spacing w:before="160" w:after="40"/>
      </w:pPr>
      <w:r>
        <w:rPr>
          <w:rFonts w:ascii="Calibri" w:hAnsi="Calibri"/>
          <w:b/>
          <w:color w:val="1F2937"/>
          <w:sz w:val="21"/>
        </w:rPr>
        <w:t>Hipótesis 1 (Contractual): Los clientes con contratos mensuales presentan una tasa de fuga sustancialmente superior a aquellos con contratos a largo plazo.</w:t>
      </w:r>
    </w:p>
    <w:p>
      <w:pPr>
        <w:keepNext/>
        <w:spacing w:before="120" w:after="4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fig4_h1_contract_churn.png"/>
                    <pic:cNvPicPr/>
                  </pic:nvPicPr>
                  <pic:blipFill>
                    <a:blip r:embed="rId14"/>
                    <a:stretch>
                      <a:fillRect/>
                    </a:stretch>
                  </pic:blipFill>
                  <pic:spPr>
                    <a:xfrm>
                      <a:off x="0" y="0"/>
                      <a:ext cx="5303520" cy="2983230"/>
                    </a:xfrm>
                    <a:prstGeom prst="rect"/>
                  </pic:spPr>
                </pic:pic>
              </a:graphicData>
            </a:graphic>
          </wp:inline>
        </w:drawing>
      </w:r>
    </w:p>
    <w:p>
      <w:pPr>
        <w:spacing w:before="40" w:after="160"/>
        <w:jc w:val="center"/>
      </w:pPr>
      <w:r>
        <w:rPr>
          <w:rFonts w:ascii="Calibri" w:hAnsi="Calibri"/>
          <w:i/>
          <w:color w:val="4B5563"/>
          <w:sz w:val="18"/>
        </w:rPr>
        <w:t>Figura 4: Tasa de Churn según Tipo de Contrato (Hipótesis 1)</w:t>
      </w:r>
    </w:p>
    <w:p>
      <w:pPr>
        <w:spacing w:before="0" w:after="80" w:line="276" w:lineRule="auto"/>
      </w:pPr>
      <w:r>
        <w:rPr>
          <w:rFonts w:ascii="Calibri" w:hAnsi="Calibri"/>
          <w:color w:val="1F2937"/>
          <w:sz w:val="20"/>
        </w:rPr>
        <w:t>Resultado: ✅ CONFIRMADA. El 42,71% de los clientes en contrato mes a mes abandonan el servicio, en contraste con sólo un 11,27% en contratos anuales y apenas un 2,83% en contratos a dos años. La modalidad contractual es el predictor individual más potente.</w:t>
      </w:r>
    </w:p>
    <w:p>
      <w:pPr>
        <w:keepNext/>
        <w:spacing w:before="160" w:after="40"/>
      </w:pPr>
      <w:r>
        <w:rPr>
          <w:rFonts w:ascii="Calibri" w:hAnsi="Calibri"/>
          <w:b/>
          <w:color w:val="1F2937"/>
          <w:sz w:val="21"/>
        </w:rPr>
        <w:t>Hipótesis 2 (Antigüedad / Tenure): El riesgo de abandono se concentra de forma crítica en los primeros meses de contratación.</w:t>
      </w:r>
    </w:p>
    <w:p>
      <w:pPr>
        <w:keepNext/>
        <w:spacing w:before="120" w:after="40"/>
        <w:jc w:val="center"/>
      </w:pPr>
      <w:r>
        <w:drawing>
          <wp:inline xmlns:a="http://schemas.openxmlformats.org/drawingml/2006/main" xmlns:pic="http://schemas.openxmlformats.org/drawingml/2006/picture">
            <wp:extent cx="5303520" cy="1704703"/>
            <wp:docPr id="5" name="Picture 5"/>
            <wp:cNvGraphicFramePr>
              <a:graphicFrameLocks noChangeAspect="1"/>
            </wp:cNvGraphicFramePr>
            <a:graphic>
              <a:graphicData uri="http://schemas.openxmlformats.org/drawingml/2006/picture">
                <pic:pic>
                  <pic:nvPicPr>
                    <pic:cNvPr id="0" name="fig5_h2_tenure_churn.png"/>
                    <pic:cNvPicPr/>
                  </pic:nvPicPr>
                  <pic:blipFill>
                    <a:blip r:embed="rId15"/>
                    <a:stretch>
                      <a:fillRect/>
                    </a:stretch>
                  </pic:blipFill>
                  <pic:spPr>
                    <a:xfrm>
                      <a:off x="0" y="0"/>
                      <a:ext cx="5303520" cy="1704703"/>
                    </a:xfrm>
                    <a:prstGeom prst="rect"/>
                  </pic:spPr>
                </pic:pic>
              </a:graphicData>
            </a:graphic>
          </wp:inline>
        </w:drawing>
      </w:r>
    </w:p>
    <w:p>
      <w:pPr>
        <w:spacing w:before="40" w:after="160"/>
        <w:jc w:val="center"/>
      </w:pPr>
      <w:r>
        <w:rPr>
          <w:rFonts w:ascii="Calibri" w:hAnsi="Calibri"/>
          <w:i/>
          <w:color w:val="4B5563"/>
          <w:sz w:val="18"/>
        </w:rPr>
        <w:t>Figura 5: Antigüedad de Clientes según Churn (Hipótesis 2)</w:t>
      </w:r>
    </w:p>
    <w:p>
      <w:pPr>
        <w:spacing w:before="0" w:after="80" w:line="276" w:lineRule="auto"/>
      </w:pPr>
      <w:r>
        <w:rPr>
          <w:rFonts w:ascii="Calibri" w:hAnsi="Calibri"/>
          <w:color w:val="1F2937"/>
          <w:sz w:val="20"/>
        </w:rPr>
        <w:t>Resultado: ✅ CONFIRMADA. La mediana de permanencia de los clientes que se van es de apenas 10 meses, mientras que la de clientes fidelizados es de 38 meses. Existe una fase crítica de deserción durante el primer año (tenure &lt;= 12).</w:t>
      </w:r>
    </w:p>
    <w:p>
      <w:pPr>
        <w:keepNext/>
        <w:spacing w:before="160" w:after="40"/>
      </w:pPr>
      <w:r>
        <w:rPr>
          <w:rFonts w:ascii="Calibri" w:hAnsi="Calibri"/>
          <w:b/>
          <w:color w:val="1F2937"/>
          <w:sz w:val="21"/>
        </w:rPr>
        <w:t>Hipótesis 3 (Servicios de Valor Agregado): Los clientes que cuentan con servicios de asistencia y seguridad presentan mayor lealtad.</w:t>
      </w:r>
    </w:p>
    <w:p>
      <w:pPr>
        <w:keepNext/>
        <w:spacing w:before="120" w:after="40"/>
        <w:jc w:val="center"/>
      </w:pPr>
      <w:r>
        <w:drawing>
          <wp:inline xmlns:a="http://schemas.openxmlformats.org/drawingml/2006/main" xmlns:pic="http://schemas.openxmlformats.org/drawingml/2006/picture">
            <wp:extent cx="5303520" cy="3030583"/>
            <wp:docPr id="6" name="Picture 6"/>
            <wp:cNvGraphicFramePr>
              <a:graphicFrameLocks noChangeAspect="1"/>
            </wp:cNvGraphicFramePr>
            <a:graphic>
              <a:graphicData uri="http://schemas.openxmlformats.org/drawingml/2006/picture">
                <pic:pic>
                  <pic:nvPicPr>
                    <pic:cNvPr id="0" name="fig6_h3_services_churn.png"/>
                    <pic:cNvPicPr/>
                  </pic:nvPicPr>
                  <pic:blipFill>
                    <a:blip r:embed="rId16"/>
                    <a:stretch>
                      <a:fillRect/>
                    </a:stretch>
                  </pic:blipFill>
                  <pic:spPr>
                    <a:xfrm>
                      <a:off x="0" y="0"/>
                      <a:ext cx="5303520" cy="3030583"/>
                    </a:xfrm>
                    <a:prstGeom prst="rect"/>
                  </pic:spPr>
                </pic:pic>
              </a:graphicData>
            </a:graphic>
          </wp:inline>
        </w:drawing>
      </w:r>
    </w:p>
    <w:p>
      <w:pPr>
        <w:spacing w:before="40" w:after="160"/>
        <w:jc w:val="center"/>
      </w:pPr>
      <w:r>
        <w:rPr>
          <w:rFonts w:ascii="Calibri" w:hAnsi="Calibri"/>
          <w:i/>
          <w:color w:val="4B5563"/>
          <w:sz w:val="18"/>
        </w:rPr>
        <w:t>Figura 6: Tasa de Churn según Servicios de Soporte y Seguridad (Hipótesis 3)</w:t>
      </w:r>
    </w:p>
    <w:p>
      <w:pPr>
        <w:spacing w:before="0" w:after="80" w:line="276" w:lineRule="auto"/>
      </w:pPr>
      <w:r>
        <w:rPr>
          <w:rFonts w:ascii="Calibri" w:hAnsi="Calibri"/>
          <w:color w:val="1F2937"/>
          <w:sz w:val="20"/>
        </w:rPr>
        <w:t>Resultado: ✅ CONFIRMADA. La ausencia de OnlineSecurity o TechSupport dispara el churn por encima del 41%, mientras que en usuarios con dichos servicios activos la fuga se reduce a un ~15%.</w:t>
      </w:r>
    </w:p>
    <w:p>
      <w:pPr>
        <w:keepNext/>
        <w:spacing w:before="160" w:after="40"/>
      </w:pPr>
      <w:r>
        <w:rPr>
          <w:rFonts w:ascii="Calibri" w:hAnsi="Calibri"/>
          <w:b/>
          <w:color w:val="1F2937"/>
          <w:sz w:val="21"/>
        </w:rPr>
        <w:t>Hipótesis 4 (Financiera): Los cargos mensuales elevados y los medios de pago no automáticos incrementan la fuga.</w:t>
      </w:r>
    </w:p>
    <w:p>
      <w:pPr>
        <w:keepNext/>
        <w:spacing w:before="120" w:after="40"/>
        <w:jc w:val="center"/>
      </w:pPr>
      <w:r>
        <w:drawing>
          <wp:inline xmlns:a="http://schemas.openxmlformats.org/drawingml/2006/main" xmlns:pic="http://schemas.openxmlformats.org/drawingml/2006/picture">
            <wp:extent cx="5303520" cy="1767840"/>
            <wp:docPr id="7" name="Picture 7"/>
            <wp:cNvGraphicFramePr>
              <a:graphicFrameLocks noChangeAspect="1"/>
            </wp:cNvGraphicFramePr>
            <a:graphic>
              <a:graphicData uri="http://schemas.openxmlformats.org/drawingml/2006/picture">
                <pic:pic>
                  <pic:nvPicPr>
                    <pic:cNvPr id="0" name="fig7_h4_payment_charges_churn.png"/>
                    <pic:cNvPicPr/>
                  </pic:nvPicPr>
                  <pic:blipFill>
                    <a:blip r:embed="rId17"/>
                    <a:stretch>
                      <a:fillRect/>
                    </a:stretch>
                  </pic:blipFill>
                  <pic:spPr>
                    <a:xfrm>
                      <a:off x="0" y="0"/>
                      <a:ext cx="5303520" cy="1767840"/>
                    </a:xfrm>
                    <a:prstGeom prst="rect"/>
                  </pic:spPr>
                </pic:pic>
              </a:graphicData>
            </a:graphic>
          </wp:inline>
        </w:drawing>
      </w:r>
    </w:p>
    <w:p>
      <w:pPr>
        <w:spacing w:before="40" w:after="160"/>
        <w:jc w:val="center"/>
      </w:pPr>
      <w:r>
        <w:rPr>
          <w:rFonts w:ascii="Calibri" w:hAnsi="Calibri"/>
          <w:i/>
          <w:color w:val="4B5563"/>
          <w:sz w:val="18"/>
        </w:rPr>
        <w:t>Figura 7: Churn por Método de Pago y Densidad de Cargos Mensuales (Hipótesis 4)</w:t>
      </w:r>
    </w:p>
    <w:p>
      <w:pPr>
        <w:spacing w:before="0" w:after="80" w:line="276" w:lineRule="auto"/>
      </w:pPr>
      <w:r>
        <w:rPr>
          <w:rFonts w:ascii="Calibri" w:hAnsi="Calibri"/>
          <w:color w:val="1F2937"/>
          <w:sz w:val="20"/>
        </w:rPr>
        <w:t>Resultado: ✅ CONFIRMADA. El método de pago Electronic check presenta un abandono del 45,3%, casi triplicando las opciones automatizadas (~15-16%). Asimismo, el churn se concentra densamente en la franja de cargos de $70 a $105/mes.</w:t>
      </w:r>
    </w:p>
    <w:p>
      <w:pPr>
        <w:keepNext/>
        <w:spacing w:before="220" w:after="60"/>
      </w:pPr>
      <w:r>
        <w:rPr>
          <w:rFonts w:ascii="Calibri" w:hAnsi="Calibri"/>
          <w:b/>
          <w:color w:val="2B5B84"/>
          <w:sz w:val="24"/>
        </w:rPr>
        <w:t>6.5 Matriz de Correlación Numérica</w:t>
      </w:r>
    </w:p>
    <w:p>
      <w:pPr>
        <w:keepNext/>
        <w:spacing w:before="120" w:after="40"/>
        <w:jc w:val="center"/>
      </w:pPr>
      <w:r>
        <w:drawing>
          <wp:inline xmlns:a="http://schemas.openxmlformats.org/drawingml/2006/main" xmlns:pic="http://schemas.openxmlformats.org/drawingml/2006/picture">
            <wp:extent cx="5303520" cy="3788229"/>
            <wp:docPr id="8" name="Picture 8"/>
            <wp:cNvGraphicFramePr>
              <a:graphicFrameLocks noChangeAspect="1"/>
            </wp:cNvGraphicFramePr>
            <a:graphic>
              <a:graphicData uri="http://schemas.openxmlformats.org/drawingml/2006/picture">
                <pic:pic>
                  <pic:nvPicPr>
                    <pic:cNvPr id="0" name="fig8_correlation_matrix.png"/>
                    <pic:cNvPicPr/>
                  </pic:nvPicPr>
                  <pic:blipFill>
                    <a:blip r:embed="rId18"/>
                    <a:stretch>
                      <a:fillRect/>
                    </a:stretch>
                  </pic:blipFill>
                  <pic:spPr>
                    <a:xfrm>
                      <a:off x="0" y="0"/>
                      <a:ext cx="5303520" cy="3788229"/>
                    </a:xfrm>
                    <a:prstGeom prst="rect"/>
                  </pic:spPr>
                </pic:pic>
              </a:graphicData>
            </a:graphic>
          </wp:inline>
        </w:drawing>
      </w:r>
    </w:p>
    <w:p>
      <w:pPr>
        <w:spacing w:before="40" w:after="160"/>
        <w:jc w:val="center"/>
      </w:pPr>
      <w:r>
        <w:rPr>
          <w:rFonts w:ascii="Calibri" w:hAnsi="Calibri"/>
          <w:i/>
          <w:color w:val="4B5563"/>
          <w:sz w:val="18"/>
        </w:rPr>
        <w:t>Figura 8: Matriz de Correlación de Pearson entre Variables Numéricas y Churn</w:t>
      </w:r>
    </w:p>
    <w:p>
      <w:pPr>
        <w:pStyle w:val="ListBullet"/>
        <w:spacing w:before="0" w:after="50" w:line="276" w:lineRule="auto"/>
        <w:ind w:left="360"/>
      </w:pPr>
      <w:r>
        <w:rPr>
          <w:rFonts w:ascii="Calibri" w:hAnsi="Calibri"/>
          <w:color w:val="1F2937"/>
          <w:sz w:val="20"/>
        </w:rPr>
        <w:t>Se evidencia una elevada correlación positiva (r = 0,826) entre tenure y TotalCharges, lógica dado que a mayor permanencia mayor es la acumulación histórica de facturación.</w:t>
      </w:r>
    </w:p>
    <w:p>
      <w:pPr>
        <w:pStyle w:val="ListBullet"/>
        <w:spacing w:before="0" w:after="50" w:line="276" w:lineRule="auto"/>
        <w:ind w:left="360"/>
      </w:pPr>
      <w:r>
        <w:rPr>
          <w:rFonts w:ascii="Calibri" w:hAnsi="Calibri"/>
          <w:color w:val="1F2937"/>
          <w:sz w:val="20"/>
        </w:rPr>
        <w:t>La correlación directa con Churn muestra a tenure como el principal protector lineal (r = -0,352) y a MonthlyCharges como factor de riesgo (r = +0,193).</w:t>
      </w:r>
    </w:p>
    <w:p>
      <w:pPr>
        <w:keepNext/>
        <w:spacing w:before="320" w:after="80"/>
      </w:pPr>
      <w:r>
        <w:rPr>
          <w:rFonts w:ascii="Calibri" w:hAnsi="Calibri"/>
          <w:b/>
          <w:color w:val="1B365D"/>
          <w:sz w:val="29"/>
        </w:rPr>
        <w:t>7. Preprocesamiento e Ingeniería de Atributos (Feature Engineering)</w:t>
      </w:r>
    </w:p>
    <w:p>
      <w:pPr>
        <w:keepNext/>
        <w:spacing w:before="220" w:after="60"/>
      </w:pPr>
      <w:r>
        <w:rPr>
          <w:rFonts w:ascii="Calibri" w:hAnsi="Calibri"/>
          <w:b/>
          <w:color w:val="2B5B84"/>
          <w:sz w:val="24"/>
        </w:rPr>
        <w:t>7.1 Variables Derivadas Diseñadas</w:t>
      </w:r>
    </w:p>
    <w:p>
      <w:pPr>
        <w:spacing w:before="0" w:after="80" w:line="276" w:lineRule="auto"/>
      </w:pPr>
      <w:r>
        <w:rPr>
          <w:rFonts w:ascii="Calibri" w:hAnsi="Calibri"/>
          <w:color w:val="1F2937"/>
          <w:sz w:val="20"/>
        </w:rPr>
        <w:t>A partir de los hallazgos empíricos del EDA, se diseñaron 5 nuevas variables predictivas:</w:t>
      </w:r>
    </w:p>
    <w:p>
      <w:pPr>
        <w:pStyle w:val="ListBullet"/>
        <w:spacing w:before="0" w:after="50" w:line="276" w:lineRule="auto"/>
        <w:ind w:left="360"/>
      </w:pPr>
      <w:r>
        <w:rPr>
          <w:rFonts w:ascii="Calibri" w:hAnsi="Calibri"/>
          <w:b/>
          <w:color w:val="1F2937"/>
          <w:sz w:val="20"/>
        </w:rPr>
        <w:t xml:space="preserve">1. is_alone: </w:t>
      </w:r>
      <w:r>
        <w:rPr>
          <w:rFonts w:ascii="Calibri" w:hAnsi="Calibri"/>
          <w:color w:val="1F2937"/>
          <w:sz w:val="20"/>
        </w:rPr>
        <w:t>Variable binaria que identifica si el cliente carece de pareja y dependientes ((Partner == 'No') &amp; (Dependents == 'No')).</w:t>
      </w:r>
    </w:p>
    <w:p>
      <w:pPr>
        <w:pStyle w:val="ListBullet"/>
        <w:spacing w:before="0" w:after="50" w:line="276" w:lineRule="auto"/>
        <w:ind w:left="360"/>
      </w:pPr>
      <w:r>
        <w:rPr>
          <w:rFonts w:ascii="Calibri" w:hAnsi="Calibri"/>
          <w:b/>
          <w:color w:val="1F2937"/>
          <w:sz w:val="20"/>
        </w:rPr>
        <w:t xml:space="preserve">2. total_addon_services: </w:t>
      </w:r>
      <w:r>
        <w:rPr>
          <w:rFonts w:ascii="Calibri" w:hAnsi="Calibri"/>
          <w:color w:val="1F2937"/>
          <w:sz w:val="20"/>
        </w:rPr>
        <w:t>Conteo cuantitativo (0 a 6) de servicios complementarios contratados (OnlineSecurity, OnlineBackup, DeviceProtection, TechSupport, StreamingTV, StreamingMovies). Mide el grado de vinculación del cliente con la empresa.</w:t>
      </w:r>
    </w:p>
    <w:p>
      <w:pPr>
        <w:pStyle w:val="ListBullet"/>
        <w:spacing w:before="0" w:after="50" w:line="276" w:lineRule="auto"/>
        <w:ind w:left="360"/>
      </w:pPr>
      <w:r>
        <w:rPr>
          <w:rFonts w:ascii="Calibri" w:hAnsi="Calibri"/>
          <w:b/>
          <w:color w:val="1F2937"/>
          <w:sz w:val="20"/>
        </w:rPr>
        <w:t xml:space="preserve">3. tenure_group: </w:t>
      </w:r>
      <w:r>
        <w:rPr>
          <w:rFonts w:ascii="Calibri" w:hAnsi="Calibri"/>
          <w:color w:val="1F2937"/>
          <w:sz w:val="20"/>
        </w:rPr>
        <w:t>Segmentación en cohortes de permanencia ('0-12m', '12-24m', '24-48m', '&gt;48m') para capturar efectos no lineales en la fase temprana de contratación.</w:t>
      </w:r>
    </w:p>
    <w:p>
      <w:pPr>
        <w:pStyle w:val="ListBullet"/>
        <w:spacing w:before="0" w:after="50" w:line="276" w:lineRule="auto"/>
        <w:ind w:left="360"/>
      </w:pPr>
      <w:r>
        <w:rPr>
          <w:rFonts w:ascii="Calibri" w:hAnsi="Calibri"/>
          <w:b/>
          <w:color w:val="1F2937"/>
          <w:sz w:val="20"/>
        </w:rPr>
        <w:t xml:space="preserve">4. monthly_to_total_ratio: </w:t>
      </w:r>
      <w:r>
        <w:rPr>
          <w:rFonts w:ascii="Calibri" w:hAnsi="Calibri"/>
          <w:color w:val="1F2937"/>
          <w:sz w:val="20"/>
        </w:rPr>
        <w:t>Ratio entre el cargo mensual actual y el total facturado histórico (MonthlyCharges / (TotalCharges + 1)). Identifica a clientes nuevos con facturas proporcionalmente muy pesadas.</w:t>
      </w:r>
    </w:p>
    <w:p>
      <w:pPr>
        <w:pStyle w:val="ListBullet"/>
        <w:spacing w:before="0" w:after="50" w:line="276" w:lineRule="auto"/>
        <w:ind w:left="360"/>
      </w:pPr>
      <w:r>
        <w:rPr>
          <w:rFonts w:ascii="Calibri" w:hAnsi="Calibri"/>
          <w:b/>
          <w:color w:val="1F2937"/>
          <w:sz w:val="20"/>
        </w:rPr>
        <w:t xml:space="preserve">5. is_month_to_month: </w:t>
      </w:r>
      <w:r>
        <w:rPr>
          <w:rFonts w:ascii="Calibri" w:hAnsi="Calibri"/>
          <w:color w:val="1F2937"/>
          <w:sz w:val="20"/>
        </w:rPr>
        <w:t>Indicador binario explícito que aísla la vulnerabilidad del contrato mes a mes.</w:t>
      </w:r>
    </w:p>
    <w:p>
      <w:pPr>
        <w:keepNext/>
        <w:spacing w:before="220" w:after="60"/>
      </w:pPr>
      <w:r>
        <w:rPr>
          <w:rFonts w:ascii="Calibri" w:hAnsi="Calibri"/>
          <w:b/>
          <w:color w:val="2B5B84"/>
          <w:sz w:val="24"/>
        </w:rPr>
        <w:t>7.2 Partición Estratificada y Prevención de Data Leakage</w:t>
      </w:r>
    </w:p>
    <w:p>
      <w:pPr>
        <w:spacing w:before="0" w:after="80" w:line="276" w:lineRule="auto"/>
      </w:pPr>
      <w:r>
        <w:rPr>
          <w:rFonts w:ascii="Calibri" w:hAnsi="Calibri"/>
          <w:color w:val="1F2937"/>
          <w:sz w:val="20"/>
        </w:rPr>
        <w:t>Para asegurar una estricta validez estadística:</w:t>
      </w:r>
    </w:p>
    <w:p>
      <w:pPr>
        <w:pStyle w:val="ListBullet"/>
        <w:spacing w:before="0" w:after="50" w:line="276" w:lineRule="auto"/>
        <w:ind w:left="360"/>
      </w:pPr>
      <w:r>
        <w:rPr>
          <w:rFonts w:ascii="Calibri" w:hAnsi="Calibri"/>
          <w:color w:val="1F2937"/>
          <w:sz w:val="20"/>
        </w:rPr>
        <w:t>Se separó el conjunto de datos en 80% de entrenamiento (5.634 clientes) y 20% de prueba retenido (1.409 clientes).</w:t>
      </w:r>
    </w:p>
    <w:p>
      <w:pPr>
        <w:pStyle w:val="ListBullet"/>
        <w:spacing w:before="0" w:after="50" w:line="276" w:lineRule="auto"/>
        <w:ind w:left="360"/>
      </w:pPr>
      <w:r>
        <w:rPr>
          <w:rFonts w:ascii="Calibri" w:hAnsi="Calibri"/>
          <w:color w:val="1F2937"/>
          <w:sz w:val="20"/>
        </w:rPr>
        <w:t>Se aplicó muestreo estratificado (stratify=y) para mantener fija la proporción del 26,54% de Churn en ambas particiones.</w:t>
      </w:r>
    </w:p>
    <w:p>
      <w:pPr>
        <w:pStyle w:val="ListBullet"/>
        <w:spacing w:before="0" w:after="50" w:line="276" w:lineRule="auto"/>
        <w:ind w:left="360"/>
      </w:pPr>
      <w:r>
        <w:rPr>
          <w:rFonts w:ascii="Calibri" w:hAnsi="Calibri"/>
          <w:color w:val="1F2937"/>
          <w:sz w:val="20"/>
        </w:rPr>
        <w:t>Se fijó la semilla random_state = 42.</w:t>
      </w:r>
    </w:p>
    <w:p>
      <w:pPr>
        <w:pStyle w:val="ListBullet"/>
        <w:spacing w:before="0" w:after="50" w:line="276" w:lineRule="auto"/>
        <w:ind w:left="360"/>
      </w:pPr>
      <w:r>
        <w:rPr>
          <w:rFonts w:ascii="Calibri" w:hAnsi="Calibri"/>
          <w:color w:val="1F2937"/>
          <w:sz w:val="20"/>
        </w:rPr>
        <w:t>Cero Data Leakage: Todas las transformaciones estadísticas (medias de escalado y categorías del One-Hot Encoding) se aprendieron exclusivamente sobre el set de entrenamiento y luego se aplicaron al set de prueba.</w:t>
      </w:r>
    </w:p>
    <w:p>
      <w:pPr>
        <w:keepNext/>
        <w:spacing w:before="220" w:after="60"/>
      </w:pPr>
      <w:r>
        <w:rPr>
          <w:rFonts w:ascii="Calibri" w:hAnsi="Calibri"/>
          <w:b/>
          <w:color w:val="2B5B84"/>
          <w:sz w:val="24"/>
        </w:rPr>
        <w:t>7.3 Pipeline con ColumnTransformer</w:t>
      </w:r>
    </w:p>
    <w:p>
      <w:pPr>
        <w:spacing w:before="0" w:after="80" w:line="276" w:lineRule="auto"/>
      </w:pPr>
      <w:r>
        <w:rPr>
          <w:rFonts w:ascii="Calibri" w:hAnsi="Calibri"/>
          <w:color w:val="1F2937"/>
          <w:sz w:val="20"/>
        </w:rPr>
        <w:t>Se integró el flujo mediante ColumnTransformer de scikit-learn:</w:t>
      </w:r>
    </w:p>
    <w:p>
      <w:pPr>
        <w:pStyle w:val="ListBullet"/>
        <w:spacing w:before="0" w:after="50" w:line="276" w:lineRule="auto"/>
        <w:ind w:left="360"/>
      </w:pPr>
      <w:r>
        <w:rPr>
          <w:rFonts w:ascii="Calibri" w:hAnsi="Calibri"/>
          <w:b/>
          <w:color w:val="1F2937"/>
          <w:sz w:val="20"/>
        </w:rPr>
        <w:t xml:space="preserve">Variables Numéricas: </w:t>
      </w:r>
      <w:r>
        <w:rPr>
          <w:rFonts w:ascii="Calibri" w:hAnsi="Calibri"/>
          <w:color w:val="1F2937"/>
          <w:sz w:val="20"/>
        </w:rPr>
        <w:t>Estandarización z-score mediante StandardScaler() (media 0, varianza unitaria).</w:t>
      </w:r>
    </w:p>
    <w:p>
      <w:pPr>
        <w:pStyle w:val="ListBullet"/>
        <w:spacing w:before="0" w:after="50" w:line="276" w:lineRule="auto"/>
        <w:ind w:left="360"/>
      </w:pPr>
      <w:r>
        <w:rPr>
          <w:rFonts w:ascii="Calibri" w:hAnsi="Calibri"/>
          <w:b/>
          <w:color w:val="1F2937"/>
          <w:sz w:val="20"/>
        </w:rPr>
        <w:t xml:space="preserve">Variables Categóricas: </w:t>
      </w:r>
      <w:r>
        <w:rPr>
          <w:rFonts w:ascii="Calibri" w:hAnsi="Calibri"/>
          <w:color w:val="1F2937"/>
          <w:sz w:val="20"/>
        </w:rPr>
        <w:t>Codificación mediante OneHotEncoder(drop='first', sparse_output=False, handle_unknown='ignore'), evitando redundancia y multicolinealidad estricta.</w:t>
      </w:r>
    </w:p>
    <w:p>
      <w:pPr>
        <w:pStyle w:val="ListBullet"/>
        <w:spacing w:before="0" w:after="50" w:line="276" w:lineRule="auto"/>
        <w:ind w:left="360"/>
      </w:pPr>
      <w:r>
        <w:rPr>
          <w:rFonts w:ascii="Calibri" w:hAnsi="Calibri"/>
          <w:color w:val="1F2937"/>
          <w:sz w:val="20"/>
        </w:rPr>
        <w:t>El espacio final de características resultante está compuesto por 37 variables transformadas.</w:t>
      </w:r>
    </w:p>
    <w:p>
      <w:pPr>
        <w:keepNext/>
        <w:spacing w:before="320" w:after="80"/>
      </w:pPr>
      <w:r>
        <w:rPr>
          <w:rFonts w:ascii="Calibri" w:hAnsi="Calibri"/>
          <w:b/>
          <w:color w:val="1B365D"/>
          <w:sz w:val="29"/>
        </w:rPr>
        <w:t>8. Modelado, Validación Cruzada y Línea Base (Baseline)</w:t>
      </w:r>
    </w:p>
    <w:p>
      <w:pPr>
        <w:spacing w:before="0" w:after="80" w:line="276" w:lineRule="auto"/>
      </w:pPr>
      <w:r>
        <w:rPr>
          <w:rFonts w:ascii="Calibri" w:hAnsi="Calibri"/>
          <w:color w:val="1F2937"/>
          <w:sz w:val="20"/>
        </w:rPr>
        <w:t>Se seleccionó una estrategia metodológica integrada (en un único flujo coherente) para evaluar 4 modelos representativos del estado del arte, incorporando mecanismos de balanceo de clases:</w:t>
      </w:r>
    </w:p>
    <w:p>
      <w:pPr>
        <w:pStyle w:val="ListBullet"/>
        <w:spacing w:before="0" w:after="50" w:line="276" w:lineRule="auto"/>
        <w:ind w:left="360"/>
      </w:pPr>
      <w:r>
        <w:rPr>
          <w:rFonts w:ascii="Calibri" w:hAnsi="Calibri"/>
          <w:b/>
          <w:color w:val="1F2937"/>
          <w:sz w:val="20"/>
        </w:rPr>
        <w:t xml:space="preserve">1. Regresión Logística (Línea Base / Baseline): </w:t>
      </w:r>
      <w:r>
        <w:rPr>
          <w:rFonts w:ascii="Calibri" w:hAnsi="Calibri"/>
          <w:color w:val="1F2937"/>
          <w:sz w:val="20"/>
        </w:rPr>
        <w:t>Modelo lineal con regularización L2 y class_weight='balanced'.</w:t>
      </w:r>
    </w:p>
    <w:p>
      <w:pPr>
        <w:pStyle w:val="ListBullet"/>
        <w:spacing w:before="0" w:after="50" w:line="276" w:lineRule="auto"/>
        <w:ind w:left="360"/>
      </w:pPr>
      <w:r>
        <w:rPr>
          <w:rFonts w:ascii="Calibri" w:hAnsi="Calibri"/>
          <w:b/>
          <w:color w:val="1F2937"/>
          <w:sz w:val="20"/>
        </w:rPr>
        <w:t xml:space="preserve">2. Árbol de Decisión: </w:t>
      </w:r>
      <w:r>
        <w:rPr>
          <w:rFonts w:ascii="Calibri" w:hAnsi="Calibri"/>
          <w:color w:val="1F2937"/>
          <w:sz w:val="20"/>
        </w:rPr>
        <w:t>Modelo no lineal de referencia (max_depth=5, class_weight='balanced').</w:t>
      </w:r>
    </w:p>
    <w:p>
      <w:pPr>
        <w:pStyle w:val="ListBullet"/>
        <w:spacing w:before="0" w:after="50" w:line="276" w:lineRule="auto"/>
        <w:ind w:left="360"/>
      </w:pPr>
      <w:r>
        <w:rPr>
          <w:rFonts w:ascii="Calibri" w:hAnsi="Calibri"/>
          <w:b/>
          <w:color w:val="1F2937"/>
          <w:sz w:val="20"/>
        </w:rPr>
        <w:t xml:space="preserve">3. Random Forest: </w:t>
      </w:r>
      <w:r>
        <w:rPr>
          <w:rFonts w:ascii="Calibri" w:hAnsi="Calibri"/>
          <w:color w:val="1F2937"/>
          <w:sz w:val="20"/>
        </w:rPr>
        <w:t>Ensamble tipo Bagging con 150 árboles, max_depth=8 y class_weight='balanced'.</w:t>
      </w:r>
    </w:p>
    <w:p>
      <w:pPr>
        <w:pStyle w:val="ListBullet"/>
        <w:spacing w:before="0" w:after="50" w:line="276" w:lineRule="auto"/>
        <w:ind w:left="360"/>
      </w:pPr>
      <w:r>
        <w:rPr>
          <w:rFonts w:ascii="Calibri" w:hAnsi="Calibri"/>
          <w:b/>
          <w:color w:val="1F2937"/>
          <w:sz w:val="20"/>
        </w:rPr>
        <w:t xml:space="preserve">4. XGBoost: </w:t>
      </w:r>
      <w:r>
        <w:rPr>
          <w:rFonts w:ascii="Calibri" w:hAnsi="Calibri"/>
          <w:color w:val="1F2937"/>
          <w:sz w:val="20"/>
        </w:rPr>
        <w:t>Gradient Boosting extremo con regularización y ponderación de clases vía parámetro scale_pos_weight = N_negativos / N_positivos ≈ 2.77.</w:t>
      </w:r>
    </w:p>
    <w:p>
      <w:pPr>
        <w:spacing w:before="0" w:after="80" w:line="276" w:lineRule="auto"/>
      </w:pPr>
      <w:r>
        <w:rPr>
          <w:rFonts w:ascii="Calibri" w:hAnsi="Calibri"/>
          <w:color w:val="1F2937"/>
          <w:sz w:val="20"/>
        </w:rPr>
        <w:t>Se evaluaron todos los modelos mediante Validación Cruzada Estratificada de 5 Folds (StratifiedKFold) sobre el conjunto de entrenamiento:</w:t>
      </w:r>
    </w:p>
    <w:p>
      <w:pPr>
        <w:keepNext/>
        <w:spacing w:before="220" w:after="60"/>
      </w:pPr>
      <w:r>
        <w:rPr>
          <w:rFonts w:ascii="Calibri" w:hAnsi="Calibri"/>
          <w:b/>
          <w:color w:val="2B5B84"/>
          <w:sz w:val="24"/>
        </w:rPr>
        <w:t>Tabla 1: Comparativa de Rendimiento en Validación Cruzada (5-Fold Stratified CV)</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170"/>
        <w:gridCol w:w="1170"/>
        <w:gridCol w:w="1170"/>
        <w:gridCol w:w="1170"/>
        <w:gridCol w:w="1170"/>
        <w:gridCol w:w="1170"/>
        <w:gridCol w:w="1170"/>
        <w:gridCol w:w="1170"/>
      </w:tblGrid>
      <w:tr>
        <w:trPr>
          <w:tblHeader/>
          <w:cantSplit/>
        </w:trP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8"/>
              </w:rPr>
              <w:t>Modelo</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8"/>
              </w:rPr>
              <w:t>ROC-AUC Media</w:t>
            </w:r>
          </w:p>
        </w:tc>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8"/>
              </w:rPr>
              <w:t>ROC-AUC Std</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8"/>
              </w:rPr>
              <w:t>PR-AUC Media</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8"/>
              </w:rPr>
              <w:t>Recall Media</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8"/>
              </w:rPr>
              <w:t>Precision Media</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8"/>
              </w:rPr>
              <w:t>F1-Score Media</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8"/>
              </w:rPr>
              <w:t>Accuracy Media</w:t>
            </w:r>
          </w:p>
        </w:tc>
      </w:tr>
      <w:tr>
        <w:trPr>
          <w:cantSplit/>
        </w:trPr>
        <w:tc>
          <w:tcPr>
            <w:tcW w:type="dxa" w:w="2448"/>
            <w:shd w:fill="FFFFFF"/>
            <w:tcMar>
              <w:top w:w="80" w:type="dxa"/>
              <w:bottom w:w="80" w:type="dxa"/>
              <w:left w:w="120" w:type="dxa"/>
              <w:right w:w="120" w:type="dxa"/>
            </w:tcMar>
          </w:tcPr>
          <w:p>
            <w:pPr>
              <w:spacing w:before="0" w:after="0"/>
              <w:jc w:val="left"/>
            </w:pPr>
            <w:r>
              <w:rPr>
                <w:rFonts w:ascii="Calibri" w:hAnsi="Calibri"/>
                <w:color w:val="1F2937"/>
                <w:sz w:val="17"/>
              </w:rPr>
              <w:t>Random Forest</w:t>
            </w:r>
          </w:p>
        </w:tc>
        <w:tc>
          <w:tcPr>
            <w:tcW w:type="dxa" w:w="1296"/>
            <w:shd w:fill="FFFFFF"/>
            <w:tcMar>
              <w:top w:w="80" w:type="dxa"/>
              <w:bottom w:w="80" w:type="dxa"/>
              <w:left w:w="120" w:type="dxa"/>
              <w:right w:w="120" w:type="dxa"/>
            </w:tcMar>
          </w:tcPr>
          <w:p>
            <w:pPr>
              <w:spacing w:before="0" w:after="0"/>
              <w:jc w:val="right"/>
            </w:pPr>
            <w:r>
              <w:rPr>
                <w:rFonts w:ascii="Calibri" w:hAnsi="Calibri"/>
                <w:color w:val="1F2937"/>
                <w:sz w:val="17"/>
              </w:rPr>
              <w:t>0.846</w:t>
            </w:r>
          </w:p>
        </w:tc>
        <w:tc>
          <w:tcPr>
            <w:tcW w:type="dxa" w:w="1152"/>
            <w:shd w:fill="FFFFFF"/>
            <w:tcMar>
              <w:top w:w="80" w:type="dxa"/>
              <w:bottom w:w="80" w:type="dxa"/>
              <w:left w:w="120" w:type="dxa"/>
              <w:right w:w="120" w:type="dxa"/>
            </w:tcMar>
          </w:tcPr>
          <w:p>
            <w:pPr>
              <w:spacing w:before="0" w:after="0"/>
              <w:jc w:val="center"/>
            </w:pPr>
            <w:r>
              <w:rPr>
                <w:rFonts w:ascii="Calibri" w:hAnsi="Calibri"/>
                <w:color w:val="1F2937"/>
                <w:sz w:val="17"/>
              </w:rPr>
              <w:t>±0.010</w:t>
            </w:r>
          </w:p>
        </w:tc>
        <w:tc>
          <w:tcPr>
            <w:tcW w:type="dxa" w:w="1152"/>
            <w:shd w:fill="FFFFFF"/>
            <w:tcMar>
              <w:top w:w="80" w:type="dxa"/>
              <w:bottom w:w="80" w:type="dxa"/>
              <w:left w:w="120" w:type="dxa"/>
              <w:right w:w="120" w:type="dxa"/>
            </w:tcMar>
          </w:tcPr>
          <w:p>
            <w:pPr>
              <w:spacing w:before="0" w:after="0"/>
              <w:jc w:val="right"/>
            </w:pPr>
            <w:r>
              <w:rPr>
                <w:rFonts w:ascii="Calibri" w:hAnsi="Calibri"/>
                <w:color w:val="1F2937"/>
                <w:sz w:val="17"/>
              </w:rPr>
              <w:t>0.662</w:t>
            </w:r>
          </w:p>
        </w:tc>
        <w:tc>
          <w:tcPr>
            <w:tcW w:type="dxa" w:w="1152"/>
            <w:shd w:fill="FFFFFF"/>
            <w:tcMar>
              <w:top w:w="80" w:type="dxa"/>
              <w:bottom w:w="80" w:type="dxa"/>
              <w:left w:w="120" w:type="dxa"/>
              <w:right w:w="120" w:type="dxa"/>
            </w:tcMar>
          </w:tcPr>
          <w:p>
            <w:pPr>
              <w:spacing w:before="0" w:after="0"/>
              <w:jc w:val="right"/>
            </w:pPr>
            <w:r>
              <w:rPr>
                <w:rFonts w:ascii="Calibri" w:hAnsi="Calibri"/>
                <w:color w:val="1F2937"/>
                <w:sz w:val="17"/>
              </w:rPr>
              <w:t>78.5%</w:t>
            </w:r>
          </w:p>
        </w:tc>
        <w:tc>
          <w:tcPr>
            <w:tcW w:type="dxa" w:w="1152"/>
            <w:shd w:fill="FFFFFF"/>
            <w:tcMar>
              <w:top w:w="80" w:type="dxa"/>
              <w:bottom w:w="80" w:type="dxa"/>
              <w:left w:w="120" w:type="dxa"/>
              <w:right w:w="120" w:type="dxa"/>
            </w:tcMar>
          </w:tcPr>
          <w:p>
            <w:pPr>
              <w:spacing w:before="0" w:after="0"/>
              <w:jc w:val="right"/>
            </w:pPr>
            <w:r>
              <w:rPr>
                <w:rFonts w:ascii="Calibri" w:hAnsi="Calibri"/>
                <w:color w:val="1F2937"/>
                <w:sz w:val="17"/>
              </w:rPr>
              <w:t>52.7%</w:t>
            </w:r>
          </w:p>
        </w:tc>
        <w:tc>
          <w:tcPr>
            <w:tcW w:type="dxa" w:w="1152"/>
            <w:shd w:fill="FFFFFF"/>
            <w:tcMar>
              <w:top w:w="80" w:type="dxa"/>
              <w:bottom w:w="80" w:type="dxa"/>
              <w:left w:w="120" w:type="dxa"/>
              <w:right w:w="120" w:type="dxa"/>
            </w:tcMar>
          </w:tcPr>
          <w:p>
            <w:pPr>
              <w:spacing w:before="0" w:after="0"/>
              <w:jc w:val="right"/>
            </w:pPr>
            <w:r>
              <w:rPr>
                <w:rFonts w:ascii="Calibri" w:hAnsi="Calibri"/>
                <w:color w:val="1F2937"/>
                <w:sz w:val="17"/>
              </w:rPr>
              <w:t>0.631</w:t>
            </w:r>
          </w:p>
        </w:tc>
        <w:tc>
          <w:tcPr>
            <w:tcW w:type="dxa" w:w="1152"/>
            <w:shd w:fill="FFFFFF"/>
            <w:tcMar>
              <w:top w:w="80" w:type="dxa"/>
              <w:bottom w:w="80" w:type="dxa"/>
              <w:left w:w="120" w:type="dxa"/>
              <w:right w:w="120" w:type="dxa"/>
            </w:tcMar>
          </w:tcPr>
          <w:p>
            <w:pPr>
              <w:spacing w:before="0" w:after="0"/>
              <w:jc w:val="right"/>
            </w:pPr>
            <w:r>
              <w:rPr>
                <w:rFonts w:ascii="Calibri" w:hAnsi="Calibri"/>
                <w:color w:val="1F2937"/>
                <w:sz w:val="17"/>
              </w:rPr>
              <w:t>75.6%</w:t>
            </w:r>
          </w:p>
        </w:tc>
      </w:tr>
      <w:tr>
        <w:trPr>
          <w:cantSplit/>
        </w:trPr>
        <w:tc>
          <w:tcPr>
            <w:tcW w:type="dxa" w:w="2448"/>
            <w:shd w:fill="F8FAFC"/>
            <w:tcMar>
              <w:top w:w="80" w:type="dxa"/>
              <w:bottom w:w="80" w:type="dxa"/>
              <w:left w:w="120" w:type="dxa"/>
              <w:right w:w="120" w:type="dxa"/>
            </w:tcMar>
          </w:tcPr>
          <w:p>
            <w:pPr>
              <w:spacing w:before="0" w:after="0"/>
              <w:jc w:val="left"/>
            </w:pPr>
            <w:r>
              <w:rPr>
                <w:rFonts w:ascii="Calibri" w:hAnsi="Calibri"/>
                <w:color w:val="1F2937"/>
                <w:sz w:val="17"/>
              </w:rPr>
              <w:t>XGBoost</w:t>
            </w:r>
          </w:p>
        </w:tc>
        <w:tc>
          <w:tcPr>
            <w:tcW w:type="dxa" w:w="1296"/>
            <w:shd w:fill="F8FAFC"/>
            <w:tcMar>
              <w:top w:w="80" w:type="dxa"/>
              <w:bottom w:w="80" w:type="dxa"/>
              <w:left w:w="120" w:type="dxa"/>
              <w:right w:w="120" w:type="dxa"/>
            </w:tcMar>
          </w:tcPr>
          <w:p>
            <w:pPr>
              <w:spacing w:before="0" w:after="0"/>
              <w:jc w:val="right"/>
            </w:pPr>
            <w:r>
              <w:rPr>
                <w:rFonts w:ascii="Calibri" w:hAnsi="Calibri"/>
                <w:color w:val="1F2937"/>
                <w:sz w:val="17"/>
              </w:rPr>
              <w:t>0.846</w:t>
            </w:r>
          </w:p>
        </w:tc>
        <w:tc>
          <w:tcPr>
            <w:tcW w:type="dxa" w:w="1152"/>
            <w:shd w:fill="F8FAFC"/>
            <w:tcMar>
              <w:top w:w="80" w:type="dxa"/>
              <w:bottom w:w="80" w:type="dxa"/>
              <w:left w:w="120" w:type="dxa"/>
              <w:right w:w="120" w:type="dxa"/>
            </w:tcMar>
          </w:tcPr>
          <w:p>
            <w:pPr>
              <w:spacing w:before="0" w:after="0"/>
              <w:jc w:val="center"/>
            </w:pPr>
            <w:r>
              <w:rPr>
                <w:rFonts w:ascii="Calibri" w:hAnsi="Calibri"/>
                <w:color w:val="1F2937"/>
                <w:sz w:val="17"/>
              </w:rPr>
              <w:t>±0.012</w:t>
            </w:r>
          </w:p>
        </w:tc>
        <w:tc>
          <w:tcPr>
            <w:tcW w:type="dxa" w:w="1152"/>
            <w:shd w:fill="F8FAFC"/>
            <w:tcMar>
              <w:top w:w="80" w:type="dxa"/>
              <w:bottom w:w="80" w:type="dxa"/>
              <w:left w:w="120" w:type="dxa"/>
              <w:right w:w="120" w:type="dxa"/>
            </w:tcMar>
          </w:tcPr>
          <w:p>
            <w:pPr>
              <w:spacing w:before="0" w:after="0"/>
              <w:jc w:val="right"/>
            </w:pPr>
            <w:r>
              <w:rPr>
                <w:rFonts w:ascii="Calibri" w:hAnsi="Calibri"/>
                <w:color w:val="1F2937"/>
                <w:sz w:val="17"/>
              </w:rPr>
              <w:t>0.663</w:t>
            </w:r>
          </w:p>
        </w:tc>
        <w:tc>
          <w:tcPr>
            <w:tcW w:type="dxa" w:w="1152"/>
            <w:shd w:fill="F8FAFC"/>
            <w:tcMar>
              <w:top w:w="80" w:type="dxa"/>
              <w:bottom w:w="80" w:type="dxa"/>
              <w:left w:w="120" w:type="dxa"/>
              <w:right w:w="120" w:type="dxa"/>
            </w:tcMar>
          </w:tcPr>
          <w:p>
            <w:pPr>
              <w:spacing w:before="0" w:after="0"/>
              <w:jc w:val="right"/>
            </w:pPr>
            <w:r>
              <w:rPr>
                <w:rFonts w:ascii="Calibri" w:hAnsi="Calibri"/>
                <w:color w:val="1F2937"/>
                <w:sz w:val="17"/>
              </w:rPr>
              <w:t>80.3%</w:t>
            </w:r>
          </w:p>
        </w:tc>
        <w:tc>
          <w:tcPr>
            <w:tcW w:type="dxa" w:w="1152"/>
            <w:shd w:fill="F8FAFC"/>
            <w:tcMar>
              <w:top w:w="80" w:type="dxa"/>
              <w:bottom w:w="80" w:type="dxa"/>
              <w:left w:w="120" w:type="dxa"/>
              <w:right w:w="120" w:type="dxa"/>
            </w:tcMar>
          </w:tcPr>
          <w:p>
            <w:pPr>
              <w:spacing w:before="0" w:after="0"/>
              <w:jc w:val="right"/>
            </w:pPr>
            <w:r>
              <w:rPr>
                <w:rFonts w:ascii="Calibri" w:hAnsi="Calibri"/>
                <w:color w:val="1F2937"/>
                <w:sz w:val="17"/>
              </w:rPr>
              <w:t>51.9%</w:t>
            </w:r>
          </w:p>
        </w:tc>
        <w:tc>
          <w:tcPr>
            <w:tcW w:type="dxa" w:w="1152"/>
            <w:shd w:fill="F8FAFC"/>
            <w:tcMar>
              <w:top w:w="80" w:type="dxa"/>
              <w:bottom w:w="80" w:type="dxa"/>
              <w:left w:w="120" w:type="dxa"/>
              <w:right w:w="120" w:type="dxa"/>
            </w:tcMar>
          </w:tcPr>
          <w:p>
            <w:pPr>
              <w:spacing w:before="0" w:after="0"/>
              <w:jc w:val="right"/>
            </w:pPr>
            <w:r>
              <w:rPr>
                <w:rFonts w:ascii="Calibri" w:hAnsi="Calibri"/>
                <w:color w:val="1F2937"/>
                <w:sz w:val="17"/>
              </w:rPr>
              <w:t>0.630</w:t>
            </w:r>
          </w:p>
        </w:tc>
        <w:tc>
          <w:tcPr>
            <w:tcW w:type="dxa" w:w="1152"/>
            <w:shd w:fill="F8FAFC"/>
            <w:tcMar>
              <w:top w:w="80" w:type="dxa"/>
              <w:bottom w:w="80" w:type="dxa"/>
              <w:left w:w="120" w:type="dxa"/>
              <w:right w:w="120" w:type="dxa"/>
            </w:tcMar>
          </w:tcPr>
          <w:p>
            <w:pPr>
              <w:spacing w:before="0" w:after="0"/>
              <w:jc w:val="right"/>
            </w:pPr>
            <w:r>
              <w:rPr>
                <w:rFonts w:ascii="Calibri" w:hAnsi="Calibri"/>
                <w:color w:val="1F2937"/>
                <w:sz w:val="17"/>
              </w:rPr>
              <w:t>75.0%</w:t>
            </w:r>
          </w:p>
        </w:tc>
      </w:tr>
      <w:tr>
        <w:trPr>
          <w:cantSplit/>
        </w:trPr>
        <w:tc>
          <w:tcPr>
            <w:tcW w:type="dxa" w:w="2448"/>
            <w:shd w:fill="FFFFFF"/>
            <w:tcMar>
              <w:top w:w="80" w:type="dxa"/>
              <w:bottom w:w="80" w:type="dxa"/>
              <w:left w:w="120" w:type="dxa"/>
              <w:right w:w="120" w:type="dxa"/>
            </w:tcMar>
          </w:tcPr>
          <w:p>
            <w:pPr>
              <w:spacing w:before="0" w:after="0"/>
              <w:jc w:val="left"/>
            </w:pPr>
            <w:r>
              <w:rPr>
                <w:rFonts w:ascii="Calibri" w:hAnsi="Calibri"/>
                <w:color w:val="1F2937"/>
                <w:sz w:val="17"/>
              </w:rPr>
              <w:t>Regresión Logística (Baseline)</w:t>
            </w:r>
          </w:p>
        </w:tc>
        <w:tc>
          <w:tcPr>
            <w:tcW w:type="dxa" w:w="1296"/>
            <w:shd w:fill="FFFFFF"/>
            <w:tcMar>
              <w:top w:w="80" w:type="dxa"/>
              <w:bottom w:w="80" w:type="dxa"/>
              <w:left w:w="120" w:type="dxa"/>
              <w:right w:w="120" w:type="dxa"/>
            </w:tcMar>
          </w:tcPr>
          <w:p>
            <w:pPr>
              <w:spacing w:before="0" w:after="0"/>
              <w:jc w:val="right"/>
            </w:pPr>
            <w:r>
              <w:rPr>
                <w:rFonts w:ascii="Calibri" w:hAnsi="Calibri"/>
                <w:color w:val="1F2937"/>
                <w:sz w:val="17"/>
              </w:rPr>
              <w:t>0.846</w:t>
            </w:r>
          </w:p>
        </w:tc>
        <w:tc>
          <w:tcPr>
            <w:tcW w:type="dxa" w:w="1152"/>
            <w:shd w:fill="FFFFFF"/>
            <w:tcMar>
              <w:top w:w="80" w:type="dxa"/>
              <w:bottom w:w="80" w:type="dxa"/>
              <w:left w:w="120" w:type="dxa"/>
              <w:right w:w="120" w:type="dxa"/>
            </w:tcMar>
          </w:tcPr>
          <w:p>
            <w:pPr>
              <w:spacing w:before="0" w:after="0"/>
              <w:jc w:val="center"/>
            </w:pPr>
            <w:r>
              <w:rPr>
                <w:rFonts w:ascii="Calibri" w:hAnsi="Calibri"/>
                <w:color w:val="1F2937"/>
                <w:sz w:val="17"/>
              </w:rPr>
              <w:t>±0.012</w:t>
            </w:r>
          </w:p>
        </w:tc>
        <w:tc>
          <w:tcPr>
            <w:tcW w:type="dxa" w:w="1152"/>
            <w:shd w:fill="FFFFFF"/>
            <w:tcMar>
              <w:top w:w="80" w:type="dxa"/>
              <w:bottom w:w="80" w:type="dxa"/>
              <w:left w:w="120" w:type="dxa"/>
              <w:right w:w="120" w:type="dxa"/>
            </w:tcMar>
          </w:tcPr>
          <w:p>
            <w:pPr>
              <w:spacing w:before="0" w:after="0"/>
              <w:jc w:val="right"/>
            </w:pPr>
            <w:r>
              <w:rPr>
                <w:rFonts w:ascii="Calibri" w:hAnsi="Calibri"/>
                <w:color w:val="1F2937"/>
                <w:sz w:val="17"/>
              </w:rPr>
              <w:t>0.664</w:t>
            </w:r>
          </w:p>
        </w:tc>
        <w:tc>
          <w:tcPr>
            <w:tcW w:type="dxa" w:w="1152"/>
            <w:shd w:fill="FFFFFF"/>
            <w:tcMar>
              <w:top w:w="80" w:type="dxa"/>
              <w:bottom w:w="80" w:type="dxa"/>
              <w:left w:w="120" w:type="dxa"/>
              <w:right w:w="120" w:type="dxa"/>
            </w:tcMar>
          </w:tcPr>
          <w:p>
            <w:pPr>
              <w:spacing w:before="0" w:after="0"/>
              <w:jc w:val="right"/>
            </w:pPr>
            <w:r>
              <w:rPr>
                <w:rFonts w:ascii="Calibri" w:hAnsi="Calibri"/>
                <w:color w:val="1F2937"/>
                <w:sz w:val="17"/>
              </w:rPr>
              <w:t>79.7%</w:t>
            </w:r>
          </w:p>
        </w:tc>
        <w:tc>
          <w:tcPr>
            <w:tcW w:type="dxa" w:w="1152"/>
            <w:shd w:fill="FFFFFF"/>
            <w:tcMar>
              <w:top w:w="80" w:type="dxa"/>
              <w:bottom w:w="80" w:type="dxa"/>
              <w:left w:w="120" w:type="dxa"/>
              <w:right w:w="120" w:type="dxa"/>
            </w:tcMar>
          </w:tcPr>
          <w:p>
            <w:pPr>
              <w:spacing w:before="0" w:after="0"/>
              <w:jc w:val="right"/>
            </w:pPr>
            <w:r>
              <w:rPr>
                <w:rFonts w:ascii="Calibri" w:hAnsi="Calibri"/>
                <w:color w:val="1F2937"/>
                <w:sz w:val="17"/>
              </w:rPr>
              <w:t>51.8%</w:t>
            </w:r>
          </w:p>
        </w:tc>
        <w:tc>
          <w:tcPr>
            <w:tcW w:type="dxa" w:w="1152"/>
            <w:shd w:fill="FFFFFF"/>
            <w:tcMar>
              <w:top w:w="80" w:type="dxa"/>
              <w:bottom w:w="80" w:type="dxa"/>
              <w:left w:w="120" w:type="dxa"/>
              <w:right w:w="120" w:type="dxa"/>
            </w:tcMar>
          </w:tcPr>
          <w:p>
            <w:pPr>
              <w:spacing w:before="0" w:after="0"/>
              <w:jc w:val="right"/>
            </w:pPr>
            <w:r>
              <w:rPr>
                <w:rFonts w:ascii="Calibri" w:hAnsi="Calibri"/>
                <w:color w:val="1F2937"/>
                <w:sz w:val="17"/>
              </w:rPr>
              <w:t>0.627</w:t>
            </w:r>
          </w:p>
        </w:tc>
        <w:tc>
          <w:tcPr>
            <w:tcW w:type="dxa" w:w="1152"/>
            <w:shd w:fill="FFFFFF"/>
            <w:tcMar>
              <w:top w:w="80" w:type="dxa"/>
              <w:bottom w:w="80" w:type="dxa"/>
              <w:left w:w="120" w:type="dxa"/>
              <w:right w:w="120" w:type="dxa"/>
            </w:tcMar>
          </w:tcPr>
          <w:p>
            <w:pPr>
              <w:spacing w:before="0" w:after="0"/>
              <w:jc w:val="right"/>
            </w:pPr>
            <w:r>
              <w:rPr>
                <w:rFonts w:ascii="Calibri" w:hAnsi="Calibri"/>
                <w:color w:val="1F2937"/>
                <w:sz w:val="17"/>
              </w:rPr>
              <w:t>74.9%</w:t>
            </w:r>
          </w:p>
        </w:tc>
      </w:tr>
      <w:tr>
        <w:trPr>
          <w:cantSplit/>
        </w:trPr>
        <w:tc>
          <w:tcPr>
            <w:tcW w:type="dxa" w:w="2448"/>
            <w:shd w:fill="F8FAFC"/>
            <w:tcMar>
              <w:top w:w="80" w:type="dxa"/>
              <w:bottom w:w="80" w:type="dxa"/>
              <w:left w:w="120" w:type="dxa"/>
              <w:right w:w="120" w:type="dxa"/>
            </w:tcMar>
          </w:tcPr>
          <w:p>
            <w:pPr>
              <w:spacing w:before="0" w:after="0"/>
              <w:jc w:val="left"/>
            </w:pPr>
            <w:r>
              <w:rPr>
                <w:rFonts w:ascii="Calibri" w:hAnsi="Calibri"/>
                <w:color w:val="1F2937"/>
                <w:sz w:val="17"/>
              </w:rPr>
              <w:t>Árbol de Decisión</w:t>
            </w:r>
          </w:p>
        </w:tc>
        <w:tc>
          <w:tcPr>
            <w:tcW w:type="dxa" w:w="1296"/>
            <w:shd w:fill="F8FAFC"/>
            <w:tcMar>
              <w:top w:w="80" w:type="dxa"/>
              <w:bottom w:w="80" w:type="dxa"/>
              <w:left w:w="120" w:type="dxa"/>
              <w:right w:w="120" w:type="dxa"/>
            </w:tcMar>
          </w:tcPr>
          <w:p>
            <w:pPr>
              <w:spacing w:before="0" w:after="0"/>
              <w:jc w:val="right"/>
            </w:pPr>
            <w:r>
              <w:rPr>
                <w:rFonts w:ascii="Calibri" w:hAnsi="Calibri"/>
                <w:color w:val="1F2937"/>
                <w:sz w:val="17"/>
              </w:rPr>
              <w:t>0.827</w:t>
            </w:r>
          </w:p>
        </w:tc>
        <w:tc>
          <w:tcPr>
            <w:tcW w:type="dxa" w:w="1152"/>
            <w:shd w:fill="F8FAFC"/>
            <w:tcMar>
              <w:top w:w="80" w:type="dxa"/>
              <w:bottom w:w="80" w:type="dxa"/>
              <w:left w:w="120" w:type="dxa"/>
              <w:right w:w="120" w:type="dxa"/>
            </w:tcMar>
          </w:tcPr>
          <w:p>
            <w:pPr>
              <w:spacing w:before="0" w:after="0"/>
              <w:jc w:val="center"/>
            </w:pPr>
            <w:r>
              <w:rPr>
                <w:rFonts w:ascii="Calibri" w:hAnsi="Calibri"/>
                <w:color w:val="1F2937"/>
                <w:sz w:val="17"/>
              </w:rPr>
              <w:t>±0.011</w:t>
            </w:r>
          </w:p>
        </w:tc>
        <w:tc>
          <w:tcPr>
            <w:tcW w:type="dxa" w:w="1152"/>
            <w:shd w:fill="F8FAFC"/>
            <w:tcMar>
              <w:top w:w="80" w:type="dxa"/>
              <w:bottom w:w="80" w:type="dxa"/>
              <w:left w:w="120" w:type="dxa"/>
              <w:right w:w="120" w:type="dxa"/>
            </w:tcMar>
          </w:tcPr>
          <w:p>
            <w:pPr>
              <w:spacing w:before="0" w:after="0"/>
              <w:jc w:val="right"/>
            </w:pPr>
            <w:r>
              <w:rPr>
                <w:rFonts w:ascii="Calibri" w:hAnsi="Calibri"/>
                <w:color w:val="1F2937"/>
                <w:sz w:val="17"/>
              </w:rPr>
              <w:t>0.611</w:t>
            </w:r>
          </w:p>
        </w:tc>
        <w:tc>
          <w:tcPr>
            <w:tcW w:type="dxa" w:w="1152"/>
            <w:shd w:fill="F8FAFC"/>
            <w:tcMar>
              <w:top w:w="80" w:type="dxa"/>
              <w:bottom w:w="80" w:type="dxa"/>
              <w:left w:w="120" w:type="dxa"/>
              <w:right w:w="120" w:type="dxa"/>
            </w:tcMar>
          </w:tcPr>
          <w:p>
            <w:pPr>
              <w:spacing w:before="0" w:after="0"/>
              <w:jc w:val="right"/>
            </w:pPr>
            <w:r>
              <w:rPr>
                <w:rFonts w:ascii="Calibri" w:hAnsi="Calibri"/>
                <w:color w:val="1F2937"/>
                <w:sz w:val="17"/>
              </w:rPr>
              <w:t>78.0%</w:t>
            </w:r>
          </w:p>
        </w:tc>
        <w:tc>
          <w:tcPr>
            <w:tcW w:type="dxa" w:w="1152"/>
            <w:shd w:fill="F8FAFC"/>
            <w:tcMar>
              <w:top w:w="80" w:type="dxa"/>
              <w:bottom w:w="80" w:type="dxa"/>
              <w:left w:w="120" w:type="dxa"/>
              <w:right w:w="120" w:type="dxa"/>
            </w:tcMar>
          </w:tcPr>
          <w:p>
            <w:pPr>
              <w:spacing w:before="0" w:after="0"/>
              <w:jc w:val="right"/>
            </w:pPr>
            <w:r>
              <w:rPr>
                <w:rFonts w:ascii="Calibri" w:hAnsi="Calibri"/>
                <w:color w:val="1F2937"/>
                <w:sz w:val="17"/>
              </w:rPr>
              <w:t>49.8%</w:t>
            </w:r>
          </w:p>
        </w:tc>
        <w:tc>
          <w:tcPr>
            <w:tcW w:type="dxa" w:w="1152"/>
            <w:shd w:fill="F8FAFC"/>
            <w:tcMar>
              <w:top w:w="80" w:type="dxa"/>
              <w:bottom w:w="80" w:type="dxa"/>
              <w:left w:w="120" w:type="dxa"/>
              <w:right w:w="120" w:type="dxa"/>
            </w:tcMar>
          </w:tcPr>
          <w:p>
            <w:pPr>
              <w:spacing w:before="0" w:after="0"/>
              <w:jc w:val="right"/>
            </w:pPr>
            <w:r>
              <w:rPr>
                <w:rFonts w:ascii="Calibri" w:hAnsi="Calibri"/>
                <w:color w:val="1F2937"/>
                <w:sz w:val="17"/>
              </w:rPr>
              <w:t>0.608</w:t>
            </w:r>
          </w:p>
        </w:tc>
        <w:tc>
          <w:tcPr>
            <w:tcW w:type="dxa" w:w="1152"/>
            <w:shd w:fill="F8FAFC"/>
            <w:tcMar>
              <w:top w:w="80" w:type="dxa"/>
              <w:bottom w:w="80" w:type="dxa"/>
              <w:left w:w="120" w:type="dxa"/>
              <w:right w:w="120" w:type="dxa"/>
            </w:tcMar>
          </w:tcPr>
          <w:p>
            <w:pPr>
              <w:spacing w:before="0" w:after="0"/>
              <w:jc w:val="right"/>
            </w:pPr>
            <w:r>
              <w:rPr>
                <w:rFonts w:ascii="Calibri" w:hAnsi="Calibri"/>
                <w:color w:val="1F2937"/>
                <w:sz w:val="17"/>
              </w:rPr>
              <w:t>73.3%</w:t>
            </w:r>
          </w:p>
        </w:tc>
      </w:tr>
    </w:tbl>
    <w:p>
      <w:pPr>
        <w:spacing w:before="0" w:after="120"/>
      </w:pPr>
    </w:p>
    <w:p>
      <w:pPr>
        <w:keepNext/>
        <w:spacing w:before="120" w:after="40"/>
        <w:jc w:val="center"/>
      </w:pPr>
      <w:r>
        <w:drawing>
          <wp:inline xmlns:a="http://schemas.openxmlformats.org/drawingml/2006/main" xmlns:pic="http://schemas.openxmlformats.org/drawingml/2006/picture">
            <wp:extent cx="5303520" cy="2209800"/>
            <wp:docPr id="9" name="Picture 9"/>
            <wp:cNvGraphicFramePr>
              <a:graphicFrameLocks noChangeAspect="1"/>
            </wp:cNvGraphicFramePr>
            <a:graphic>
              <a:graphicData uri="http://schemas.openxmlformats.org/drawingml/2006/picture">
                <pic:pic>
                  <pic:nvPicPr>
                    <pic:cNvPr id="0" name="fig9_cv_models_comparison.png"/>
                    <pic:cNvPicPr/>
                  </pic:nvPicPr>
                  <pic:blipFill>
                    <a:blip r:embed="rId19"/>
                    <a:stretch>
                      <a:fillRect/>
                    </a:stretch>
                  </pic:blipFill>
                  <pic:spPr>
                    <a:xfrm>
                      <a:off x="0" y="0"/>
                      <a:ext cx="5303520" cy="2209800"/>
                    </a:xfrm>
                    <a:prstGeom prst="rect"/>
                  </pic:spPr>
                </pic:pic>
              </a:graphicData>
            </a:graphic>
          </wp:inline>
        </w:drawing>
      </w:r>
    </w:p>
    <w:p>
      <w:pPr>
        <w:spacing w:before="40" w:after="160"/>
        <w:jc w:val="center"/>
      </w:pPr>
      <w:r>
        <w:rPr>
          <w:rFonts w:ascii="Calibri" w:hAnsi="Calibri"/>
          <w:i/>
          <w:color w:val="4B5563"/>
          <w:sz w:val="18"/>
        </w:rPr>
        <w:t>Figura 9: Comparativa de Métricas en Validación Cruzada Estratificada (5-Fold CV)</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36" w:space="0" w:color="1B365D"/>
              <w:bottom w:val="none"/>
              <w:right w:val="none"/>
            </w:tcBorders>
            <w:tcMar>
              <w:top w:w="140" w:type="dxa"/>
              <w:bottom w:w="140" w:type="dxa"/>
              <w:left w:w="200" w:type="dxa"/>
              <w:right w:w="200" w:type="dxa"/>
            </w:tcMar>
          </w:tcPr>
          <w:p>
            <w:pPr>
              <w:spacing w:before="0" w:after="40" w:line="276" w:lineRule="auto"/>
            </w:pPr>
            <w:r>
              <w:rPr>
                <w:rFonts w:ascii="Calibri" w:hAnsi="Calibri"/>
                <w:b/>
                <w:color w:val="1B365D"/>
                <w:sz w:val="20"/>
              </w:rPr>
              <w:t>📌 Conclusiones de la Etapa de Modelado Inicial</w:t>
              <w:br/>
            </w:r>
            <w:r>
              <w:rPr>
                <w:rFonts w:ascii="Calibri" w:hAnsi="Calibri"/>
                <w:i/>
                <w:color w:val="1E293B"/>
                <w:sz w:val="19"/>
              </w:rPr>
              <w:t>• El baseline de Regresión Logística demuestra un desempeño sólido (ROC-AUC 0.846), lo que valida la calidad de las variables diseñadas en Feature Engineering.</w:t>
              <w:br/>
              <w:t>• XGBoost y Random Forest lideran la capacidad de discriminación, exhibiendo alta estabilidad fold a fold (desvío estándar en torno a 0.01) y alcanzando un Recall superior al 80% en validación cruzada.</w:t>
              <w:br/>
              <w:t>• Se seleccionan XGBoost y Random Forest para la fase de optimización sistemática de hiperparámetros.</w:t>
            </w:r>
          </w:p>
        </w:tc>
      </w:tr>
    </w:tbl>
    <w:p>
      <w:pPr>
        <w:spacing w:before="0" w:after="80"/>
      </w:pPr>
    </w:p>
    <w:p>
      <w:pPr>
        <w:keepNext/>
        <w:spacing w:before="320" w:after="80"/>
      </w:pPr>
      <w:r>
        <w:rPr>
          <w:rFonts w:ascii="Calibri" w:hAnsi="Calibri"/>
          <w:b/>
          <w:color w:val="1B365D"/>
          <w:sz w:val="29"/>
        </w:rPr>
        <w:t>9. Optimización Sistemática de Hiperparámetros y Control de Sobreajuste</w:t>
      </w:r>
    </w:p>
    <w:p>
      <w:pPr>
        <w:spacing w:before="0" w:after="80" w:line="276" w:lineRule="auto"/>
      </w:pPr>
      <w:r>
        <w:rPr>
          <w:rFonts w:ascii="Calibri" w:hAnsi="Calibri"/>
          <w:color w:val="1F2937"/>
          <w:sz w:val="20"/>
        </w:rPr>
        <w:t>Se implementó una búsqueda exhaustiva por grilla mediante GridSearchCV con 5 particiones estratificadas optimizando directamente sobre la métrica scoring = 'roc_auc':</w:t>
      </w:r>
    </w:p>
    <w:p>
      <w:pPr>
        <w:pStyle w:val="ListBullet"/>
        <w:spacing w:before="0" w:after="50" w:line="276" w:lineRule="auto"/>
        <w:ind w:left="360"/>
      </w:pPr>
      <w:r>
        <w:rPr>
          <w:rFonts w:ascii="Calibri" w:hAnsi="Calibri"/>
          <w:b/>
          <w:color w:val="1F2937"/>
          <w:sz w:val="20"/>
        </w:rPr>
        <w:t xml:space="preserve">Grilla para XGBoost: </w:t>
      </w:r>
      <w:r>
        <w:rPr>
          <w:rFonts w:ascii="Calibri" w:hAnsi="Calibri"/>
          <w:color w:val="1F2937"/>
          <w:sz w:val="20"/>
        </w:rPr>
        <w:t>n_estimators: [100, 150, 200] | max_depth: [3, 4, 5] | learning_rate: [0.03, 0.08, 0.12] | subsample: [0.8, 1.0] | colsample_bytree: [0.8, 1.0]. Mejores Hiperparámetros: n_estimators = 100, max_depth = 3, learning_rate = 0.08, subsample = 0.8, colsample_bytree = 0.8.</w:t>
      </w:r>
    </w:p>
    <w:p>
      <w:pPr>
        <w:pStyle w:val="ListBullet"/>
        <w:spacing w:before="0" w:after="50" w:line="276" w:lineRule="auto"/>
        <w:ind w:left="360"/>
      </w:pPr>
      <w:r>
        <w:rPr>
          <w:rFonts w:ascii="Calibri" w:hAnsi="Calibri"/>
          <w:b/>
          <w:color w:val="1F2937"/>
          <w:sz w:val="20"/>
        </w:rPr>
        <w:t xml:space="preserve">Grilla para Random Forest: </w:t>
      </w:r>
      <w:r>
        <w:rPr>
          <w:rFonts w:ascii="Calibri" w:hAnsi="Calibri"/>
          <w:color w:val="1F2937"/>
          <w:sz w:val="20"/>
        </w:rPr>
        <w:t>n_estimators: [100, 150, 200] | max_depth: [6, 8, 10] | min_samples_split: [5, 10] | min_samples_leaf: [2, 4]. Mejores Hiperparámetros: n_estimators = 150, max_depth = 8, min_samples_split = 10, min_samples_leaf = 4.</w:t>
      </w:r>
    </w:p>
    <w:p>
      <w:pPr>
        <w:keepNext/>
        <w:spacing w:before="220" w:after="60"/>
      </w:pPr>
      <w:r>
        <w:rPr>
          <w:rFonts w:ascii="Calibri" w:hAnsi="Calibri"/>
          <w:b/>
          <w:color w:val="2B5B84"/>
          <w:sz w:val="24"/>
        </w:rPr>
        <w:t>Control de Sobreajuste (Overfitting Assessment)</w:t>
      </w:r>
    </w:p>
    <w:p>
      <w:pPr>
        <w:spacing w:before="0" w:after="80" w:line="276" w:lineRule="auto"/>
      </w:pPr>
      <w:r>
        <w:rPr>
          <w:rFonts w:ascii="Calibri" w:hAnsi="Calibri"/>
          <w:color w:val="1F2937"/>
          <w:sz w:val="20"/>
        </w:rPr>
        <w:t>Tabla 2: Diagnóstico de Sobreajuste en Modelos Optimizados: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8"/>
              </w:rPr>
              <w:t>Modelo</w:t>
            </w:r>
          </w:p>
        </w:tc>
        <w:tc>
          <w:tcPr>
            <w:tcW w:type="dxa" w:w="1872"/>
            <w:shd w:fill="1B365D"/>
            <w:tcMar>
              <w:top w:w="100" w:type="dxa"/>
              <w:bottom w:w="100" w:type="dxa"/>
              <w:left w:w="120" w:type="dxa"/>
              <w:right w:w="120" w:type="dxa"/>
            </w:tcMar>
          </w:tcPr>
          <w:p>
            <w:pPr>
              <w:spacing w:before="0" w:after="0"/>
              <w:jc w:val="right"/>
            </w:pPr>
            <w:r>
              <w:rPr>
                <w:rFonts w:ascii="Calibri" w:hAnsi="Calibri"/>
                <w:b/>
                <w:color w:val="FFFFFF"/>
                <w:sz w:val="18"/>
              </w:rPr>
              <w:t>ROC-AUC Entrenamiento</w:t>
            </w:r>
          </w:p>
        </w:tc>
        <w:tc>
          <w:tcPr>
            <w:tcW w:type="dxa" w:w="1872"/>
            <w:shd w:fill="1B365D"/>
            <w:tcMar>
              <w:top w:w="100" w:type="dxa"/>
              <w:bottom w:w="100" w:type="dxa"/>
              <w:left w:w="120" w:type="dxa"/>
              <w:right w:w="120" w:type="dxa"/>
            </w:tcMar>
          </w:tcPr>
          <w:p>
            <w:pPr>
              <w:spacing w:before="0" w:after="0"/>
              <w:jc w:val="right"/>
            </w:pPr>
            <w:r>
              <w:rPr>
                <w:rFonts w:ascii="Calibri" w:hAnsi="Calibri"/>
                <w:b/>
                <w:color w:val="FFFFFF"/>
                <w:sz w:val="18"/>
              </w:rPr>
              <w:t>ROC-AUC Validación (CV)</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8"/>
              </w:rPr>
              <w:t>Brecha (Overfitting)</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8"/>
              </w:rPr>
              <w:t>Diagnóstico</w:t>
            </w:r>
          </w:p>
        </w:tc>
      </w:tr>
      <w:tr>
        <w:trPr>
          <w:cantSplit/>
        </w:trPr>
        <w:tc>
          <w:tcPr>
            <w:tcW w:type="dxa" w:w="2592"/>
            <w:shd w:fill="FEF3C7"/>
            <w:tcMar>
              <w:top w:w="80" w:type="dxa"/>
              <w:bottom w:w="80" w:type="dxa"/>
              <w:left w:w="120" w:type="dxa"/>
              <w:right w:w="120" w:type="dxa"/>
            </w:tcMar>
          </w:tcPr>
          <w:p>
            <w:pPr>
              <w:spacing w:before="0" w:after="0"/>
              <w:jc w:val="left"/>
            </w:pPr>
            <w:r>
              <w:rPr>
                <w:rFonts w:ascii="Calibri" w:hAnsi="Calibri"/>
                <w:b/>
                <w:color w:val="1F2937"/>
                <w:sz w:val="17"/>
              </w:rPr>
              <w:t>XGBoost Optimizado</w:t>
            </w:r>
          </w:p>
        </w:tc>
        <w:tc>
          <w:tcPr>
            <w:tcW w:type="dxa" w:w="1872"/>
            <w:shd w:fill="FEF3C7"/>
            <w:tcMar>
              <w:top w:w="80" w:type="dxa"/>
              <w:bottom w:w="80" w:type="dxa"/>
              <w:left w:w="120" w:type="dxa"/>
              <w:right w:w="120" w:type="dxa"/>
            </w:tcMar>
          </w:tcPr>
          <w:p>
            <w:pPr>
              <w:spacing w:before="0" w:after="0"/>
              <w:jc w:val="right"/>
            </w:pPr>
            <w:r>
              <w:rPr>
                <w:rFonts w:ascii="Calibri" w:hAnsi="Calibri"/>
                <w:b/>
                <w:color w:val="1F2937"/>
                <w:sz w:val="17"/>
              </w:rPr>
              <w:t>0.887</w:t>
            </w:r>
          </w:p>
        </w:tc>
        <w:tc>
          <w:tcPr>
            <w:tcW w:type="dxa" w:w="1872"/>
            <w:shd w:fill="FEF3C7"/>
            <w:tcMar>
              <w:top w:w="80" w:type="dxa"/>
              <w:bottom w:w="80" w:type="dxa"/>
              <w:left w:w="120" w:type="dxa"/>
              <w:right w:w="120" w:type="dxa"/>
            </w:tcMar>
          </w:tcPr>
          <w:p>
            <w:pPr>
              <w:spacing w:before="0" w:after="0"/>
              <w:jc w:val="right"/>
            </w:pPr>
            <w:r>
              <w:rPr>
                <w:rFonts w:ascii="Calibri" w:hAnsi="Calibri"/>
                <w:b/>
                <w:color w:val="1F2937"/>
                <w:sz w:val="17"/>
              </w:rPr>
              <w:t>0.846</w:t>
            </w:r>
          </w:p>
        </w:tc>
        <w:tc>
          <w:tcPr>
            <w:tcW w:type="dxa" w:w="1584"/>
            <w:shd w:fill="FEF3C7"/>
            <w:tcMar>
              <w:top w:w="80" w:type="dxa"/>
              <w:bottom w:w="80" w:type="dxa"/>
              <w:left w:w="120" w:type="dxa"/>
              <w:right w:w="120" w:type="dxa"/>
            </w:tcMar>
          </w:tcPr>
          <w:p>
            <w:pPr>
              <w:spacing w:before="0" w:after="0"/>
              <w:jc w:val="center"/>
            </w:pPr>
            <w:r>
              <w:rPr>
                <w:rFonts w:ascii="Calibri" w:hAnsi="Calibri"/>
                <w:b/>
                <w:color w:val="1F2937"/>
                <w:sz w:val="17"/>
              </w:rPr>
              <w:t>0.041</w:t>
            </w:r>
          </w:p>
        </w:tc>
        <w:tc>
          <w:tcPr>
            <w:tcW w:type="dxa" w:w="2592"/>
            <w:shd w:fill="FEF3C7"/>
            <w:tcMar>
              <w:top w:w="80" w:type="dxa"/>
              <w:bottom w:w="80" w:type="dxa"/>
              <w:left w:w="120" w:type="dxa"/>
              <w:right w:w="120" w:type="dxa"/>
            </w:tcMar>
          </w:tcPr>
          <w:p>
            <w:pPr>
              <w:spacing w:before="0" w:after="0"/>
              <w:jc w:val="left"/>
            </w:pPr>
            <w:r>
              <w:rPr>
                <w:rFonts w:ascii="Calibri" w:hAnsi="Calibri"/>
                <w:b/>
                <w:color w:val="1F2937"/>
                <w:sz w:val="17"/>
              </w:rPr>
              <w:t>Óptimo (Generalización Robusta)</w:t>
            </w:r>
          </w:p>
        </w:tc>
      </w:tr>
      <w:tr>
        <w:trPr>
          <w:cantSplit/>
        </w:trPr>
        <w:tc>
          <w:tcPr>
            <w:tcW w:type="dxa" w:w="2592"/>
            <w:shd w:fill="F8FAFC"/>
            <w:tcMar>
              <w:top w:w="80" w:type="dxa"/>
              <w:bottom w:w="80" w:type="dxa"/>
              <w:left w:w="120" w:type="dxa"/>
              <w:right w:w="120" w:type="dxa"/>
            </w:tcMar>
          </w:tcPr>
          <w:p>
            <w:pPr>
              <w:spacing w:before="0" w:after="0"/>
              <w:jc w:val="left"/>
            </w:pPr>
            <w:r>
              <w:rPr>
                <w:rFonts w:ascii="Calibri" w:hAnsi="Calibri"/>
                <w:color w:val="1F2937"/>
                <w:sz w:val="17"/>
              </w:rPr>
              <w:t>Random Forest Optimizado</w:t>
            </w:r>
          </w:p>
        </w:tc>
        <w:tc>
          <w:tcPr>
            <w:tcW w:type="dxa" w:w="1872"/>
            <w:shd w:fill="F8FAFC"/>
            <w:tcMar>
              <w:top w:w="80" w:type="dxa"/>
              <w:bottom w:w="80" w:type="dxa"/>
              <w:left w:w="120" w:type="dxa"/>
              <w:right w:w="120" w:type="dxa"/>
            </w:tcMar>
          </w:tcPr>
          <w:p>
            <w:pPr>
              <w:spacing w:before="0" w:after="0"/>
              <w:jc w:val="right"/>
            </w:pPr>
            <w:r>
              <w:rPr>
                <w:rFonts w:ascii="Calibri" w:hAnsi="Calibri"/>
                <w:color w:val="1F2937"/>
                <w:sz w:val="17"/>
              </w:rPr>
              <w:t>0.898</w:t>
            </w:r>
          </w:p>
        </w:tc>
        <w:tc>
          <w:tcPr>
            <w:tcW w:type="dxa" w:w="1872"/>
            <w:shd w:fill="F8FAFC"/>
            <w:tcMar>
              <w:top w:w="80" w:type="dxa"/>
              <w:bottom w:w="80" w:type="dxa"/>
              <w:left w:w="120" w:type="dxa"/>
              <w:right w:w="120" w:type="dxa"/>
            </w:tcMar>
          </w:tcPr>
          <w:p>
            <w:pPr>
              <w:spacing w:before="0" w:after="0"/>
              <w:jc w:val="right"/>
            </w:pPr>
            <w:r>
              <w:rPr>
                <w:rFonts w:ascii="Calibri" w:hAnsi="Calibri"/>
                <w:color w:val="1F2937"/>
                <w:sz w:val="17"/>
              </w:rPr>
              <w:t>0.846</w:t>
            </w:r>
          </w:p>
        </w:tc>
        <w:tc>
          <w:tcPr>
            <w:tcW w:type="dxa" w:w="1584"/>
            <w:shd w:fill="F8FAFC"/>
            <w:tcMar>
              <w:top w:w="80" w:type="dxa"/>
              <w:bottom w:w="80" w:type="dxa"/>
              <w:left w:w="120" w:type="dxa"/>
              <w:right w:w="120" w:type="dxa"/>
            </w:tcMar>
          </w:tcPr>
          <w:p>
            <w:pPr>
              <w:spacing w:before="0" w:after="0"/>
              <w:jc w:val="center"/>
            </w:pPr>
            <w:r>
              <w:rPr>
                <w:rFonts w:ascii="Calibri" w:hAnsi="Calibri"/>
                <w:color w:val="1F2937"/>
                <w:sz w:val="17"/>
              </w:rPr>
              <w:t>0.052</w:t>
            </w:r>
          </w:p>
        </w:tc>
        <w:tc>
          <w:tcPr>
            <w:tcW w:type="dxa" w:w="2592"/>
            <w:shd w:fill="F8FAFC"/>
            <w:tcMar>
              <w:top w:w="80" w:type="dxa"/>
              <w:bottom w:w="80" w:type="dxa"/>
              <w:left w:w="120" w:type="dxa"/>
              <w:right w:w="120" w:type="dxa"/>
            </w:tcMar>
          </w:tcPr>
          <w:p>
            <w:pPr>
              <w:spacing w:before="0" w:after="0"/>
              <w:jc w:val="left"/>
            </w:pPr>
            <w:r>
              <w:rPr>
                <w:rFonts w:ascii="Calibri" w:hAnsi="Calibri"/>
                <w:color w:val="1F2937"/>
                <w:sz w:val="17"/>
              </w:rPr>
              <w:t>Muy Bueno</w:t>
            </w:r>
          </w:p>
        </w:tc>
      </w:tr>
    </w:tbl>
    <w:p>
      <w:pPr>
        <w:spacing w:before="0" w:after="120"/>
      </w:pPr>
    </w:p>
    <w:p>
      <w:pPr>
        <w:spacing w:before="0" w:after="80" w:line="276" w:lineRule="auto"/>
      </w:pPr>
      <w:r>
        <w:rPr>
          <w:rFonts w:ascii="Calibri" w:hAnsi="Calibri"/>
          <w:color w:val="1F2937"/>
          <w:sz w:val="20"/>
        </w:rPr>
        <w:t>Observación: La brecha entre el puntaje de entrenamiento y el de validación se encuentra acotada a 0.041 en XGBoost, lo que descarta memorización del set de entrenamiento y garantiza solidez estadística.</w:t>
      </w:r>
    </w:p>
    <w:p>
      <w:pPr>
        <w:keepNext/>
        <w:spacing w:before="320" w:after="80"/>
      </w:pPr>
      <w:r>
        <w:rPr>
          <w:rFonts w:ascii="Calibri" w:hAnsi="Calibri"/>
          <w:b/>
          <w:color w:val="1B365D"/>
          <w:sz w:val="29"/>
        </w:rPr>
        <w:t>10. Evaluación en Conjunto de Test Retenido y Calibración de Umbral (Threshold Tuning)</w:t>
      </w:r>
    </w:p>
    <w:p>
      <w:pPr>
        <w:keepNext/>
        <w:spacing w:before="220" w:after="60"/>
      </w:pPr>
      <w:r>
        <w:rPr>
          <w:rFonts w:ascii="Calibri" w:hAnsi="Calibri"/>
          <w:b/>
          <w:color w:val="2B5B84"/>
          <w:sz w:val="24"/>
        </w:rPr>
        <w:t>10.1 Rendimiento en el Conjunto de Test (1.409 Observaciones Desconocidas)</w:t>
      </w:r>
    </w:p>
    <w:p>
      <w:pPr>
        <w:spacing w:before="0" w:after="80" w:line="276" w:lineRule="auto"/>
      </w:pPr>
      <w:r>
        <w:rPr>
          <w:rFonts w:ascii="Calibri" w:hAnsi="Calibri"/>
          <w:color w:val="1F2937"/>
          <w:sz w:val="20"/>
        </w:rPr>
        <w:t>Se evaluaron los modelos optimizados en el conjunto de prueba que nunca intervino en el entrenamiento ni en el ajuste de hiperparámetros.</w:t>
      </w:r>
    </w:p>
    <w:p>
      <w:pPr>
        <w:spacing w:before="0" w:after="80" w:line="276" w:lineRule="auto"/>
      </w:pPr>
      <w:r>
        <w:rPr>
          <w:rFonts w:ascii="Calibri" w:hAnsi="Calibri"/>
          <w:color w:val="1F2937"/>
          <w:sz w:val="20"/>
        </w:rPr>
        <w:t>Tabla 3: Resultados Cuantitativos en el Conjunto de Test Retenido (Umbral 0.50):</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170"/>
        <w:gridCol w:w="1170"/>
        <w:gridCol w:w="1170"/>
        <w:gridCol w:w="1170"/>
        <w:gridCol w:w="1170"/>
        <w:gridCol w:w="1170"/>
        <w:gridCol w:w="1170"/>
        <w:gridCol w:w="1170"/>
      </w:tblGrid>
      <w:tr>
        <w:trPr>
          <w:tblHeader/>
          <w:cantSplit/>
        </w:trP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8"/>
              </w:rPr>
              <w:t>Modelo</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8"/>
              </w:rPr>
              <w:t>ROC-AUC</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8"/>
              </w:rPr>
              <w:t>PR-AUC</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8"/>
              </w:rPr>
              <w:t>Recall (Sensibilidad)</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8"/>
              </w:rPr>
              <w:t>Precision</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8"/>
              </w:rPr>
              <w:t>F1-Score</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8"/>
              </w:rPr>
              <w:t>Accuracy</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8"/>
              </w:rPr>
              <w:t>Fugas Detectadas</w:t>
            </w:r>
          </w:p>
        </w:tc>
      </w:tr>
      <w:tr>
        <w:trPr>
          <w:cantSplit/>
        </w:trPr>
        <w:tc>
          <w:tcPr>
            <w:tcW w:type="dxa" w:w="2448"/>
            <w:shd w:fill="FEF3C7"/>
            <w:tcMar>
              <w:top w:w="80" w:type="dxa"/>
              <w:bottom w:w="80" w:type="dxa"/>
              <w:left w:w="120" w:type="dxa"/>
              <w:right w:w="120" w:type="dxa"/>
            </w:tcMar>
          </w:tcPr>
          <w:p>
            <w:pPr>
              <w:spacing w:before="0" w:after="0"/>
              <w:jc w:val="left"/>
            </w:pPr>
            <w:r>
              <w:rPr>
                <w:rFonts w:ascii="Calibri" w:hAnsi="Calibri"/>
                <w:b/>
                <w:color w:val="1F2937"/>
                <w:sz w:val="17"/>
              </w:rPr>
              <w:t>XGBoost Optimizado</w:t>
            </w:r>
          </w:p>
        </w:tc>
        <w:tc>
          <w:tcPr>
            <w:tcW w:type="dxa" w:w="1008"/>
            <w:shd w:fill="FEF3C7"/>
            <w:tcMar>
              <w:top w:w="80" w:type="dxa"/>
              <w:bottom w:w="80" w:type="dxa"/>
              <w:left w:w="120" w:type="dxa"/>
              <w:right w:w="120" w:type="dxa"/>
            </w:tcMar>
          </w:tcPr>
          <w:p>
            <w:pPr>
              <w:spacing w:before="0" w:after="0"/>
              <w:jc w:val="right"/>
            </w:pPr>
            <w:r>
              <w:rPr>
                <w:rFonts w:ascii="Calibri" w:hAnsi="Calibri"/>
                <w:b/>
                <w:color w:val="1F2937"/>
                <w:sz w:val="17"/>
              </w:rPr>
              <w:t>0.847</w:t>
            </w:r>
          </w:p>
        </w:tc>
        <w:tc>
          <w:tcPr>
            <w:tcW w:type="dxa" w:w="1008"/>
            <w:shd w:fill="FEF3C7"/>
            <w:tcMar>
              <w:top w:w="80" w:type="dxa"/>
              <w:bottom w:w="80" w:type="dxa"/>
              <w:left w:w="120" w:type="dxa"/>
              <w:right w:w="120" w:type="dxa"/>
            </w:tcMar>
          </w:tcPr>
          <w:p>
            <w:pPr>
              <w:spacing w:before="0" w:after="0"/>
              <w:jc w:val="right"/>
            </w:pPr>
            <w:r>
              <w:rPr>
                <w:rFonts w:ascii="Calibri" w:hAnsi="Calibri"/>
                <w:b/>
                <w:color w:val="1F2937"/>
                <w:sz w:val="17"/>
              </w:rPr>
              <w:t>0.663</w:t>
            </w:r>
          </w:p>
        </w:tc>
        <w:tc>
          <w:tcPr>
            <w:tcW w:type="dxa" w:w="1296"/>
            <w:shd w:fill="FEF3C7"/>
            <w:tcMar>
              <w:top w:w="80" w:type="dxa"/>
              <w:bottom w:w="80" w:type="dxa"/>
              <w:left w:w="120" w:type="dxa"/>
              <w:right w:w="120" w:type="dxa"/>
            </w:tcMar>
          </w:tcPr>
          <w:p>
            <w:pPr>
              <w:spacing w:before="0" w:after="0"/>
              <w:jc w:val="right"/>
            </w:pPr>
            <w:r>
              <w:rPr>
                <w:rFonts w:ascii="Calibri" w:hAnsi="Calibri"/>
                <w:b/>
                <w:color w:val="1F2937"/>
                <w:sz w:val="17"/>
              </w:rPr>
              <w:t>80.5%</w:t>
            </w:r>
          </w:p>
        </w:tc>
        <w:tc>
          <w:tcPr>
            <w:tcW w:type="dxa" w:w="1152"/>
            <w:shd w:fill="FEF3C7"/>
            <w:tcMar>
              <w:top w:w="80" w:type="dxa"/>
              <w:bottom w:w="80" w:type="dxa"/>
              <w:left w:w="120" w:type="dxa"/>
              <w:right w:w="120" w:type="dxa"/>
            </w:tcMar>
          </w:tcPr>
          <w:p>
            <w:pPr>
              <w:spacing w:before="0" w:after="0"/>
              <w:jc w:val="right"/>
            </w:pPr>
            <w:r>
              <w:rPr>
                <w:rFonts w:ascii="Calibri" w:hAnsi="Calibri"/>
                <w:b/>
                <w:color w:val="1F2937"/>
                <w:sz w:val="17"/>
              </w:rPr>
              <w:t>51.5%</w:t>
            </w:r>
          </w:p>
        </w:tc>
        <w:tc>
          <w:tcPr>
            <w:tcW w:type="dxa" w:w="1008"/>
            <w:shd w:fill="FEF3C7"/>
            <w:tcMar>
              <w:top w:w="80" w:type="dxa"/>
              <w:bottom w:w="80" w:type="dxa"/>
              <w:left w:w="120" w:type="dxa"/>
              <w:right w:w="120" w:type="dxa"/>
            </w:tcMar>
          </w:tcPr>
          <w:p>
            <w:pPr>
              <w:spacing w:before="0" w:after="0"/>
              <w:jc w:val="right"/>
            </w:pPr>
            <w:r>
              <w:rPr>
                <w:rFonts w:ascii="Calibri" w:hAnsi="Calibri"/>
                <w:b/>
                <w:color w:val="1F2937"/>
                <w:sz w:val="17"/>
              </w:rPr>
              <w:t>0.628</w:t>
            </w:r>
          </w:p>
        </w:tc>
        <w:tc>
          <w:tcPr>
            <w:tcW w:type="dxa" w:w="1008"/>
            <w:shd w:fill="FEF3C7"/>
            <w:tcMar>
              <w:top w:w="80" w:type="dxa"/>
              <w:bottom w:w="80" w:type="dxa"/>
              <w:left w:w="120" w:type="dxa"/>
              <w:right w:w="120" w:type="dxa"/>
            </w:tcMar>
          </w:tcPr>
          <w:p>
            <w:pPr>
              <w:spacing w:before="0" w:after="0"/>
              <w:jc w:val="right"/>
            </w:pPr>
            <w:r>
              <w:rPr>
                <w:rFonts w:ascii="Calibri" w:hAnsi="Calibri"/>
                <w:b/>
                <w:color w:val="1F2937"/>
                <w:sz w:val="17"/>
              </w:rPr>
              <w:t>74.7%</w:t>
            </w:r>
          </w:p>
        </w:tc>
        <w:tc>
          <w:tcPr>
            <w:tcW w:type="dxa" w:w="1440"/>
            <w:shd w:fill="FEF3C7"/>
            <w:tcMar>
              <w:top w:w="80" w:type="dxa"/>
              <w:bottom w:w="80" w:type="dxa"/>
              <w:left w:w="120" w:type="dxa"/>
              <w:right w:w="120" w:type="dxa"/>
            </w:tcMar>
          </w:tcPr>
          <w:p>
            <w:pPr>
              <w:spacing w:before="0" w:after="0"/>
              <w:jc w:val="center"/>
            </w:pPr>
            <w:r>
              <w:rPr>
                <w:rFonts w:ascii="Calibri" w:hAnsi="Calibri"/>
                <w:b/>
                <w:color w:val="1F2937"/>
                <w:sz w:val="17"/>
              </w:rPr>
              <w:t>301 de 374</w:t>
            </w:r>
          </w:p>
        </w:tc>
      </w:tr>
      <w:tr>
        <w:trPr>
          <w:cantSplit/>
        </w:trPr>
        <w:tc>
          <w:tcPr>
            <w:tcW w:type="dxa" w:w="2448"/>
            <w:shd w:fill="F8FAFC"/>
            <w:tcMar>
              <w:top w:w="80" w:type="dxa"/>
              <w:bottom w:w="80" w:type="dxa"/>
              <w:left w:w="120" w:type="dxa"/>
              <w:right w:w="120" w:type="dxa"/>
            </w:tcMar>
          </w:tcPr>
          <w:p>
            <w:pPr>
              <w:spacing w:before="0" w:after="0"/>
              <w:jc w:val="left"/>
            </w:pPr>
            <w:r>
              <w:rPr>
                <w:rFonts w:ascii="Calibri" w:hAnsi="Calibri"/>
                <w:color w:val="1F2937"/>
                <w:sz w:val="17"/>
              </w:rPr>
              <w:t>Random Forest Optimizado</w:t>
            </w:r>
          </w:p>
        </w:tc>
        <w:tc>
          <w:tcPr>
            <w:tcW w:type="dxa" w:w="1008"/>
            <w:shd w:fill="F8FAFC"/>
            <w:tcMar>
              <w:top w:w="80" w:type="dxa"/>
              <w:bottom w:w="80" w:type="dxa"/>
              <w:left w:w="120" w:type="dxa"/>
              <w:right w:w="120" w:type="dxa"/>
            </w:tcMar>
          </w:tcPr>
          <w:p>
            <w:pPr>
              <w:spacing w:before="0" w:after="0"/>
              <w:jc w:val="right"/>
            </w:pPr>
            <w:r>
              <w:rPr>
                <w:rFonts w:ascii="Calibri" w:hAnsi="Calibri"/>
                <w:color w:val="1F2937"/>
                <w:sz w:val="17"/>
              </w:rPr>
              <w:t>0.845</w:t>
            </w:r>
          </w:p>
        </w:tc>
        <w:tc>
          <w:tcPr>
            <w:tcW w:type="dxa" w:w="1008"/>
            <w:shd w:fill="F8FAFC"/>
            <w:tcMar>
              <w:top w:w="80" w:type="dxa"/>
              <w:bottom w:w="80" w:type="dxa"/>
              <w:left w:w="120" w:type="dxa"/>
              <w:right w:w="120" w:type="dxa"/>
            </w:tcMar>
          </w:tcPr>
          <w:p>
            <w:pPr>
              <w:spacing w:before="0" w:after="0"/>
              <w:jc w:val="right"/>
            </w:pPr>
            <w:r>
              <w:rPr>
                <w:rFonts w:ascii="Calibri" w:hAnsi="Calibri"/>
                <w:color w:val="1F2937"/>
                <w:sz w:val="17"/>
              </w:rPr>
              <w:t>0.659</w:t>
            </w:r>
          </w:p>
        </w:tc>
        <w:tc>
          <w:tcPr>
            <w:tcW w:type="dxa" w:w="1296"/>
            <w:shd w:fill="F8FAFC"/>
            <w:tcMar>
              <w:top w:w="80" w:type="dxa"/>
              <w:bottom w:w="80" w:type="dxa"/>
              <w:left w:w="120" w:type="dxa"/>
              <w:right w:w="120" w:type="dxa"/>
            </w:tcMar>
          </w:tcPr>
          <w:p>
            <w:pPr>
              <w:spacing w:before="0" w:after="0"/>
              <w:jc w:val="right"/>
            </w:pPr>
            <w:r>
              <w:rPr>
                <w:rFonts w:ascii="Calibri" w:hAnsi="Calibri"/>
                <w:color w:val="1F2937"/>
                <w:sz w:val="17"/>
              </w:rPr>
              <w:t>79.7%</w:t>
            </w:r>
          </w:p>
        </w:tc>
        <w:tc>
          <w:tcPr>
            <w:tcW w:type="dxa" w:w="1152"/>
            <w:shd w:fill="F8FAFC"/>
            <w:tcMar>
              <w:top w:w="80" w:type="dxa"/>
              <w:bottom w:w="80" w:type="dxa"/>
              <w:left w:w="120" w:type="dxa"/>
              <w:right w:w="120" w:type="dxa"/>
            </w:tcMar>
          </w:tcPr>
          <w:p>
            <w:pPr>
              <w:spacing w:before="0" w:after="0"/>
              <w:jc w:val="right"/>
            </w:pPr>
            <w:r>
              <w:rPr>
                <w:rFonts w:ascii="Calibri" w:hAnsi="Calibri"/>
                <w:color w:val="1F2937"/>
                <w:sz w:val="17"/>
              </w:rPr>
              <w:t>52.6%</w:t>
            </w:r>
          </w:p>
        </w:tc>
        <w:tc>
          <w:tcPr>
            <w:tcW w:type="dxa" w:w="1008"/>
            <w:shd w:fill="F8FAFC"/>
            <w:tcMar>
              <w:top w:w="80" w:type="dxa"/>
              <w:bottom w:w="80" w:type="dxa"/>
              <w:left w:w="120" w:type="dxa"/>
              <w:right w:w="120" w:type="dxa"/>
            </w:tcMar>
          </w:tcPr>
          <w:p>
            <w:pPr>
              <w:spacing w:before="0" w:after="0"/>
              <w:jc w:val="right"/>
            </w:pPr>
            <w:r>
              <w:rPr>
                <w:rFonts w:ascii="Calibri" w:hAnsi="Calibri"/>
                <w:color w:val="1F2937"/>
                <w:sz w:val="17"/>
              </w:rPr>
              <w:t>0.633</w:t>
            </w:r>
          </w:p>
        </w:tc>
        <w:tc>
          <w:tcPr>
            <w:tcW w:type="dxa" w:w="1008"/>
            <w:shd w:fill="F8FAFC"/>
            <w:tcMar>
              <w:top w:w="80" w:type="dxa"/>
              <w:bottom w:w="80" w:type="dxa"/>
              <w:left w:w="120" w:type="dxa"/>
              <w:right w:w="120" w:type="dxa"/>
            </w:tcMar>
          </w:tcPr>
          <w:p>
            <w:pPr>
              <w:spacing w:before="0" w:after="0"/>
              <w:jc w:val="right"/>
            </w:pPr>
            <w:r>
              <w:rPr>
                <w:rFonts w:ascii="Calibri" w:hAnsi="Calibri"/>
                <w:color w:val="1F2937"/>
                <w:sz w:val="17"/>
              </w:rPr>
              <w:t>75.5%</w:t>
            </w:r>
          </w:p>
        </w:tc>
        <w:tc>
          <w:tcPr>
            <w:tcW w:type="dxa" w:w="1440"/>
            <w:shd w:fill="F8FAFC"/>
            <w:tcMar>
              <w:top w:w="80" w:type="dxa"/>
              <w:bottom w:w="80" w:type="dxa"/>
              <w:left w:w="120" w:type="dxa"/>
              <w:right w:w="120" w:type="dxa"/>
            </w:tcMar>
          </w:tcPr>
          <w:p>
            <w:pPr>
              <w:spacing w:before="0" w:after="0"/>
              <w:jc w:val="center"/>
            </w:pPr>
            <w:r>
              <w:rPr>
                <w:rFonts w:ascii="Calibri" w:hAnsi="Calibri"/>
                <w:color w:val="1F2937"/>
                <w:sz w:val="17"/>
              </w:rPr>
              <w:t>298 de 374</w:t>
            </w:r>
          </w:p>
        </w:tc>
      </w:tr>
    </w:tbl>
    <w:p>
      <w:pPr>
        <w:spacing w:before="0" w:after="120"/>
      </w:pPr>
    </w:p>
    <w:p>
      <w:pPr>
        <w:keepNext/>
        <w:spacing w:before="120" w:after="40"/>
        <w:jc w:val="center"/>
      </w:pPr>
      <w:r>
        <w:drawing>
          <wp:inline xmlns:a="http://schemas.openxmlformats.org/drawingml/2006/main" xmlns:pic="http://schemas.openxmlformats.org/drawingml/2006/picture">
            <wp:extent cx="5303520" cy="2083526"/>
            <wp:docPr id="10" name="Picture 10"/>
            <wp:cNvGraphicFramePr>
              <a:graphicFrameLocks noChangeAspect="1"/>
            </wp:cNvGraphicFramePr>
            <a:graphic>
              <a:graphicData uri="http://schemas.openxmlformats.org/drawingml/2006/picture">
                <pic:pic>
                  <pic:nvPicPr>
                    <pic:cNvPr id="0" name="fig10_test_roc_pr_curves.png"/>
                    <pic:cNvPicPr/>
                  </pic:nvPicPr>
                  <pic:blipFill>
                    <a:blip r:embed="rId20"/>
                    <a:stretch>
                      <a:fillRect/>
                    </a:stretch>
                  </pic:blipFill>
                  <pic:spPr>
                    <a:xfrm>
                      <a:off x="0" y="0"/>
                      <a:ext cx="5303520" cy="2083526"/>
                    </a:xfrm>
                    <a:prstGeom prst="rect"/>
                  </pic:spPr>
                </pic:pic>
              </a:graphicData>
            </a:graphic>
          </wp:inline>
        </w:drawing>
      </w:r>
    </w:p>
    <w:p>
      <w:pPr>
        <w:spacing w:before="40" w:after="160"/>
        <w:jc w:val="center"/>
      </w:pPr>
      <w:r>
        <w:rPr>
          <w:rFonts w:ascii="Calibri" w:hAnsi="Calibri"/>
          <w:i/>
          <w:color w:val="4B5563"/>
          <w:sz w:val="18"/>
        </w:rPr>
        <w:t>Figura 10: Curvas ROC y Precision-Recall en Conjunto de Test Retenido</w:t>
      </w:r>
    </w:p>
    <w:p>
      <w:pPr>
        <w:keepNext/>
        <w:spacing w:before="120" w:after="40"/>
        <w:jc w:val="center"/>
      </w:pPr>
      <w:r>
        <w:drawing>
          <wp:inline xmlns:a="http://schemas.openxmlformats.org/drawingml/2006/main" xmlns:pic="http://schemas.openxmlformats.org/drawingml/2006/picture">
            <wp:extent cx="5303520" cy="4419600"/>
            <wp:docPr id="11" name="Picture 11"/>
            <wp:cNvGraphicFramePr>
              <a:graphicFrameLocks noChangeAspect="1"/>
            </wp:cNvGraphicFramePr>
            <a:graphic>
              <a:graphicData uri="http://schemas.openxmlformats.org/drawingml/2006/picture">
                <pic:pic>
                  <pic:nvPicPr>
                    <pic:cNvPr id="0" name="fig11_confusion_matrix_default_050.png"/>
                    <pic:cNvPicPr/>
                  </pic:nvPicPr>
                  <pic:blipFill>
                    <a:blip r:embed="rId21"/>
                    <a:stretch>
                      <a:fillRect/>
                    </a:stretch>
                  </pic:blipFill>
                  <pic:spPr>
                    <a:xfrm>
                      <a:off x="0" y="0"/>
                      <a:ext cx="5303520" cy="4419600"/>
                    </a:xfrm>
                    <a:prstGeom prst="rect"/>
                  </pic:spPr>
                </pic:pic>
              </a:graphicData>
            </a:graphic>
          </wp:inline>
        </w:drawing>
      </w:r>
    </w:p>
    <w:p>
      <w:pPr>
        <w:spacing w:before="40" w:after="160"/>
        <w:jc w:val="center"/>
      </w:pPr>
      <w:r>
        <w:rPr>
          <w:rFonts w:ascii="Calibri" w:hAnsi="Calibri"/>
          <w:i/>
          <w:color w:val="4B5563"/>
          <w:sz w:val="18"/>
        </w:rPr>
        <w:t>Figura 11: Matriz de Confusión XGBoost con Umbral Estándar (0.50)</w:t>
      </w:r>
    </w:p>
    <w:p>
      <w:pPr>
        <w:keepNext/>
        <w:spacing w:before="220" w:after="60"/>
      </w:pPr>
      <w:r>
        <w:rPr>
          <w:rFonts w:ascii="Calibri" w:hAnsi="Calibri"/>
          <w:b/>
          <w:color w:val="2B5B84"/>
          <w:sz w:val="24"/>
        </w:rPr>
        <w:t>10.2 Calibración del Umbral de Decisión (Threshold Tuning)</w:t>
      </w:r>
    </w:p>
    <w:p>
      <w:pPr>
        <w:spacing w:before="0" w:after="80" w:line="276" w:lineRule="auto"/>
      </w:pPr>
      <w:r>
        <w:rPr>
          <w:rFonts w:ascii="Calibri" w:hAnsi="Calibri"/>
          <w:color w:val="1F2937"/>
          <w:sz w:val="20"/>
        </w:rPr>
        <w:t>Por defecto, los algoritmos asignan la clase positiva si la probabilidad estimada satisface P(Churn = 1) &gt;= 0,50. Sin embargo, en un problema de retención donde el costo de un Falso Negativo supera ampliamente al de un Falso Positivo, resulta indispensable evaluar umbrales alternativos.</w:t>
      </w:r>
    </w:p>
    <w:p>
      <w:pPr>
        <w:spacing w:before="0" w:after="80" w:line="276" w:lineRule="auto"/>
      </w:pPr>
      <w:r>
        <w:rPr>
          <w:rFonts w:ascii="Calibri" w:hAnsi="Calibri"/>
          <w:color w:val="1F2937"/>
          <w:sz w:val="20"/>
        </w:rPr>
        <w:t>Se realizó un barrido sistemático de umbrales entre 0.10 y 0.90:</w:t>
      </w:r>
    </w:p>
    <w:p>
      <w:pPr>
        <w:spacing w:before="0" w:after="80" w:line="276" w:lineRule="auto"/>
      </w:pPr>
      <w:r>
        <w:rPr>
          <w:rFonts w:ascii="Calibri" w:hAnsi="Calibri"/>
          <w:color w:val="1F2937"/>
          <w:sz w:val="20"/>
        </w:rPr>
        <w:t>Tabla 4: Comportamiento de Métricas y Matriz de Error según Umbral de Decisión (XGBoost):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040"/>
        <w:gridCol w:w="1040"/>
        <w:gridCol w:w="1040"/>
        <w:gridCol w:w="1040"/>
        <w:gridCol w:w="1040"/>
        <w:gridCol w:w="1040"/>
        <w:gridCol w:w="1040"/>
        <w:gridCol w:w="1040"/>
        <w:gridCol w:w="1040"/>
      </w:tblGrid>
      <w:tr>
        <w:trPr>
          <w:tblHeader/>
          <w:cantSplit/>
        </w:trPr>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8"/>
              </w:rPr>
              <w:t>Umbral</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8"/>
              </w:rPr>
              <w:t>Recall</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8"/>
              </w:rPr>
              <w:t>Precision</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8"/>
              </w:rPr>
              <w:t>F1-Score</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8"/>
              </w:rPr>
              <w:t>Accuracy</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8"/>
              </w:rPr>
              <w:t>TP (Detectadas)</w:t>
            </w:r>
          </w:p>
        </w:tc>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8"/>
              </w:rPr>
              <w:t>FP (Falsas)</w:t>
            </w:r>
          </w:p>
        </w:tc>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8"/>
              </w:rPr>
              <w:t>FN (No Det.)</w:t>
            </w:r>
          </w:p>
        </w:tc>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8"/>
              </w:rPr>
              <w:t>TN (Retenidos)</w:t>
            </w:r>
          </w:p>
        </w:tc>
      </w:tr>
      <w:tr>
        <w:trPr>
          <w:cantSplit/>
        </w:trPr>
        <w:tc>
          <w:tcPr>
            <w:tcW w:type="dxa" w:w="1296"/>
            <w:shd w:fill="FFFFFF"/>
            <w:tcMar>
              <w:top w:w="80" w:type="dxa"/>
              <w:bottom w:w="80" w:type="dxa"/>
              <w:left w:w="120" w:type="dxa"/>
              <w:right w:w="120" w:type="dxa"/>
            </w:tcMar>
          </w:tcPr>
          <w:p>
            <w:pPr>
              <w:spacing w:before="0" w:after="0"/>
              <w:jc w:val="center"/>
            </w:pPr>
            <w:r>
              <w:rPr>
                <w:rFonts w:ascii="Calibri" w:hAnsi="Calibri"/>
                <w:color w:val="1F2937"/>
                <w:sz w:val="17"/>
              </w:rPr>
              <w:t>0.20</w:t>
            </w:r>
          </w:p>
        </w:tc>
        <w:tc>
          <w:tcPr>
            <w:tcW w:type="dxa" w:w="1008"/>
            <w:shd w:fill="FFFFFF"/>
            <w:tcMar>
              <w:top w:w="80" w:type="dxa"/>
              <w:bottom w:w="80" w:type="dxa"/>
              <w:left w:w="120" w:type="dxa"/>
              <w:right w:w="120" w:type="dxa"/>
            </w:tcMar>
          </w:tcPr>
          <w:p>
            <w:pPr>
              <w:spacing w:before="0" w:after="0"/>
              <w:jc w:val="right"/>
            </w:pPr>
            <w:r>
              <w:rPr>
                <w:rFonts w:ascii="Calibri" w:hAnsi="Calibri"/>
                <w:color w:val="1F2937"/>
                <w:sz w:val="17"/>
              </w:rPr>
              <w:t>96.8%</w:t>
            </w:r>
          </w:p>
        </w:tc>
        <w:tc>
          <w:tcPr>
            <w:tcW w:type="dxa" w:w="1008"/>
            <w:shd w:fill="FFFFFF"/>
            <w:tcMar>
              <w:top w:w="80" w:type="dxa"/>
              <w:bottom w:w="80" w:type="dxa"/>
              <w:left w:w="120" w:type="dxa"/>
              <w:right w:w="120" w:type="dxa"/>
            </w:tcMar>
          </w:tcPr>
          <w:p>
            <w:pPr>
              <w:spacing w:before="0" w:after="0"/>
              <w:jc w:val="right"/>
            </w:pPr>
            <w:r>
              <w:rPr>
                <w:rFonts w:ascii="Calibri" w:hAnsi="Calibri"/>
                <w:color w:val="1F2937"/>
                <w:sz w:val="17"/>
              </w:rPr>
              <w:t>35.8%</w:t>
            </w:r>
          </w:p>
        </w:tc>
        <w:tc>
          <w:tcPr>
            <w:tcW w:type="dxa" w:w="1008"/>
            <w:shd w:fill="FFFFFF"/>
            <w:tcMar>
              <w:top w:w="80" w:type="dxa"/>
              <w:bottom w:w="80" w:type="dxa"/>
              <w:left w:w="120" w:type="dxa"/>
              <w:right w:w="120" w:type="dxa"/>
            </w:tcMar>
          </w:tcPr>
          <w:p>
            <w:pPr>
              <w:spacing w:before="0" w:after="0"/>
              <w:jc w:val="right"/>
            </w:pPr>
            <w:r>
              <w:rPr>
                <w:rFonts w:ascii="Calibri" w:hAnsi="Calibri"/>
                <w:color w:val="1F2937"/>
                <w:sz w:val="17"/>
              </w:rPr>
              <w:t>0.522</w:t>
            </w:r>
          </w:p>
        </w:tc>
        <w:tc>
          <w:tcPr>
            <w:tcW w:type="dxa" w:w="1008"/>
            <w:shd w:fill="FFFFFF"/>
            <w:tcMar>
              <w:top w:w="80" w:type="dxa"/>
              <w:bottom w:w="80" w:type="dxa"/>
              <w:left w:w="120" w:type="dxa"/>
              <w:right w:w="120" w:type="dxa"/>
            </w:tcMar>
          </w:tcPr>
          <w:p>
            <w:pPr>
              <w:spacing w:before="0" w:after="0"/>
              <w:jc w:val="right"/>
            </w:pPr>
            <w:r>
              <w:rPr>
                <w:rFonts w:ascii="Calibri" w:hAnsi="Calibri"/>
                <w:color w:val="1F2937"/>
                <w:sz w:val="17"/>
              </w:rPr>
              <w:t>56.4%</w:t>
            </w:r>
          </w:p>
        </w:tc>
        <w:tc>
          <w:tcPr>
            <w:tcW w:type="dxa" w:w="1296"/>
            <w:shd w:fill="FFFFFF"/>
            <w:tcMar>
              <w:top w:w="80" w:type="dxa"/>
              <w:bottom w:w="80" w:type="dxa"/>
              <w:left w:w="120" w:type="dxa"/>
              <w:right w:w="120" w:type="dxa"/>
            </w:tcMar>
          </w:tcPr>
          <w:p>
            <w:pPr>
              <w:spacing w:before="0" w:after="0"/>
              <w:jc w:val="center"/>
            </w:pPr>
            <w:r>
              <w:rPr>
                <w:rFonts w:ascii="Calibri" w:hAnsi="Calibri"/>
                <w:color w:val="1F2937"/>
                <w:sz w:val="17"/>
              </w:rPr>
              <w:t>362</w:t>
            </w:r>
          </w:p>
        </w:tc>
        <w:tc>
          <w:tcPr>
            <w:tcW w:type="dxa" w:w="1152"/>
            <w:shd w:fill="FFFFFF"/>
            <w:tcMar>
              <w:top w:w="80" w:type="dxa"/>
              <w:bottom w:w="80" w:type="dxa"/>
              <w:left w:w="120" w:type="dxa"/>
              <w:right w:w="120" w:type="dxa"/>
            </w:tcMar>
          </w:tcPr>
          <w:p>
            <w:pPr>
              <w:spacing w:before="0" w:after="0"/>
              <w:jc w:val="center"/>
            </w:pPr>
            <w:r>
              <w:rPr>
                <w:rFonts w:ascii="Calibri" w:hAnsi="Calibri"/>
                <w:color w:val="1F2937"/>
                <w:sz w:val="17"/>
              </w:rPr>
              <w:t>650</w:t>
            </w:r>
          </w:p>
        </w:tc>
        <w:tc>
          <w:tcPr>
            <w:tcW w:type="dxa" w:w="1152"/>
            <w:shd w:fill="FFFFFF"/>
            <w:tcMar>
              <w:top w:w="80" w:type="dxa"/>
              <w:bottom w:w="80" w:type="dxa"/>
              <w:left w:w="120" w:type="dxa"/>
              <w:right w:w="120" w:type="dxa"/>
            </w:tcMar>
          </w:tcPr>
          <w:p>
            <w:pPr>
              <w:spacing w:before="0" w:after="0"/>
              <w:jc w:val="center"/>
            </w:pPr>
            <w:r>
              <w:rPr>
                <w:rFonts w:ascii="Calibri" w:hAnsi="Calibri"/>
                <w:color w:val="1F2937"/>
                <w:sz w:val="17"/>
              </w:rPr>
              <w:t>12</w:t>
            </w:r>
          </w:p>
        </w:tc>
        <w:tc>
          <w:tcPr>
            <w:tcW w:type="dxa" w:w="1152"/>
            <w:shd w:fill="FFFFFF"/>
            <w:tcMar>
              <w:top w:w="80" w:type="dxa"/>
              <w:bottom w:w="80" w:type="dxa"/>
              <w:left w:w="120" w:type="dxa"/>
              <w:right w:w="120" w:type="dxa"/>
            </w:tcMar>
          </w:tcPr>
          <w:p>
            <w:pPr>
              <w:spacing w:before="0" w:after="0"/>
              <w:jc w:val="center"/>
            </w:pPr>
            <w:r>
              <w:rPr>
                <w:rFonts w:ascii="Calibri" w:hAnsi="Calibri"/>
                <w:color w:val="1F2937"/>
                <w:sz w:val="17"/>
              </w:rPr>
              <w:t>385</w:t>
            </w:r>
          </w:p>
        </w:tc>
      </w:tr>
      <w:tr>
        <w:trPr>
          <w:cantSplit/>
        </w:trPr>
        <w:tc>
          <w:tcPr>
            <w:tcW w:type="dxa" w:w="1296"/>
            <w:shd w:fill="F8FAFC"/>
            <w:tcMar>
              <w:top w:w="80" w:type="dxa"/>
              <w:bottom w:w="80" w:type="dxa"/>
              <w:left w:w="120" w:type="dxa"/>
              <w:right w:w="120" w:type="dxa"/>
            </w:tcMar>
          </w:tcPr>
          <w:p>
            <w:pPr>
              <w:spacing w:before="0" w:after="0"/>
              <w:jc w:val="center"/>
            </w:pPr>
            <w:r>
              <w:rPr>
                <w:rFonts w:ascii="Calibri" w:hAnsi="Calibri"/>
                <w:color w:val="1F2937"/>
                <w:sz w:val="17"/>
              </w:rPr>
              <w:t>0.30</w:t>
            </w:r>
          </w:p>
        </w:tc>
        <w:tc>
          <w:tcPr>
            <w:tcW w:type="dxa" w:w="1008"/>
            <w:shd w:fill="F8FAFC"/>
            <w:tcMar>
              <w:top w:w="80" w:type="dxa"/>
              <w:bottom w:w="80" w:type="dxa"/>
              <w:left w:w="120" w:type="dxa"/>
              <w:right w:w="120" w:type="dxa"/>
            </w:tcMar>
          </w:tcPr>
          <w:p>
            <w:pPr>
              <w:spacing w:before="0" w:after="0"/>
              <w:jc w:val="right"/>
            </w:pPr>
            <w:r>
              <w:rPr>
                <w:rFonts w:ascii="Calibri" w:hAnsi="Calibri"/>
                <w:color w:val="1F2937"/>
                <w:sz w:val="17"/>
              </w:rPr>
              <w:t>92.5%</w:t>
            </w:r>
          </w:p>
        </w:tc>
        <w:tc>
          <w:tcPr>
            <w:tcW w:type="dxa" w:w="1008"/>
            <w:shd w:fill="F8FAFC"/>
            <w:tcMar>
              <w:top w:w="80" w:type="dxa"/>
              <w:bottom w:w="80" w:type="dxa"/>
              <w:left w:w="120" w:type="dxa"/>
              <w:right w:w="120" w:type="dxa"/>
            </w:tcMar>
          </w:tcPr>
          <w:p>
            <w:pPr>
              <w:spacing w:before="0" w:after="0"/>
              <w:jc w:val="right"/>
            </w:pPr>
            <w:r>
              <w:rPr>
                <w:rFonts w:ascii="Calibri" w:hAnsi="Calibri"/>
                <w:color w:val="1F2937"/>
                <w:sz w:val="17"/>
              </w:rPr>
              <w:t>41.7%</w:t>
            </w:r>
          </w:p>
        </w:tc>
        <w:tc>
          <w:tcPr>
            <w:tcW w:type="dxa" w:w="1008"/>
            <w:shd w:fill="F8FAFC"/>
            <w:tcMar>
              <w:top w:w="80" w:type="dxa"/>
              <w:bottom w:w="80" w:type="dxa"/>
              <w:left w:w="120" w:type="dxa"/>
              <w:right w:w="120" w:type="dxa"/>
            </w:tcMar>
          </w:tcPr>
          <w:p>
            <w:pPr>
              <w:spacing w:before="0" w:after="0"/>
              <w:jc w:val="right"/>
            </w:pPr>
            <w:r>
              <w:rPr>
                <w:rFonts w:ascii="Calibri" w:hAnsi="Calibri"/>
                <w:color w:val="1F2937"/>
                <w:sz w:val="17"/>
              </w:rPr>
              <w:t>0.575</w:t>
            </w:r>
          </w:p>
        </w:tc>
        <w:tc>
          <w:tcPr>
            <w:tcW w:type="dxa" w:w="1008"/>
            <w:shd w:fill="F8FAFC"/>
            <w:tcMar>
              <w:top w:w="80" w:type="dxa"/>
              <w:bottom w:w="80" w:type="dxa"/>
              <w:left w:w="120" w:type="dxa"/>
              <w:right w:w="120" w:type="dxa"/>
            </w:tcMar>
          </w:tcPr>
          <w:p>
            <w:pPr>
              <w:spacing w:before="0" w:after="0"/>
              <w:jc w:val="right"/>
            </w:pPr>
            <w:r>
              <w:rPr>
                <w:rFonts w:ascii="Calibri" w:hAnsi="Calibri"/>
                <w:color w:val="1F2937"/>
                <w:sz w:val="17"/>
              </w:rPr>
              <w:t>65.6%</w:t>
            </w:r>
          </w:p>
        </w:tc>
        <w:tc>
          <w:tcPr>
            <w:tcW w:type="dxa" w:w="1296"/>
            <w:shd w:fill="F8FAFC"/>
            <w:tcMar>
              <w:top w:w="80" w:type="dxa"/>
              <w:bottom w:w="80" w:type="dxa"/>
              <w:left w:w="120" w:type="dxa"/>
              <w:right w:w="120" w:type="dxa"/>
            </w:tcMar>
          </w:tcPr>
          <w:p>
            <w:pPr>
              <w:spacing w:before="0" w:after="0"/>
              <w:jc w:val="center"/>
            </w:pPr>
            <w:r>
              <w:rPr>
                <w:rFonts w:ascii="Calibri" w:hAnsi="Calibri"/>
                <w:color w:val="1F2937"/>
                <w:sz w:val="17"/>
              </w:rPr>
              <w:t>346</w:t>
            </w:r>
          </w:p>
        </w:tc>
        <w:tc>
          <w:tcPr>
            <w:tcW w:type="dxa" w:w="1152"/>
            <w:shd w:fill="F8FAFC"/>
            <w:tcMar>
              <w:top w:w="80" w:type="dxa"/>
              <w:bottom w:w="80" w:type="dxa"/>
              <w:left w:w="120" w:type="dxa"/>
              <w:right w:w="120" w:type="dxa"/>
            </w:tcMar>
          </w:tcPr>
          <w:p>
            <w:pPr>
              <w:spacing w:before="0" w:after="0"/>
              <w:jc w:val="center"/>
            </w:pPr>
            <w:r>
              <w:rPr>
                <w:rFonts w:ascii="Calibri" w:hAnsi="Calibri"/>
                <w:color w:val="1F2937"/>
                <w:sz w:val="17"/>
              </w:rPr>
              <w:t>483</w:t>
            </w:r>
          </w:p>
        </w:tc>
        <w:tc>
          <w:tcPr>
            <w:tcW w:type="dxa" w:w="1152"/>
            <w:shd w:fill="F8FAFC"/>
            <w:tcMar>
              <w:top w:w="80" w:type="dxa"/>
              <w:bottom w:w="80" w:type="dxa"/>
              <w:left w:w="120" w:type="dxa"/>
              <w:right w:w="120" w:type="dxa"/>
            </w:tcMar>
          </w:tcPr>
          <w:p>
            <w:pPr>
              <w:spacing w:before="0" w:after="0"/>
              <w:jc w:val="center"/>
            </w:pPr>
            <w:r>
              <w:rPr>
                <w:rFonts w:ascii="Calibri" w:hAnsi="Calibri"/>
                <w:color w:val="1F2937"/>
                <w:sz w:val="17"/>
              </w:rPr>
              <w:t>28</w:t>
            </w:r>
          </w:p>
        </w:tc>
        <w:tc>
          <w:tcPr>
            <w:tcW w:type="dxa" w:w="1152"/>
            <w:shd w:fill="F8FAFC"/>
            <w:tcMar>
              <w:top w:w="80" w:type="dxa"/>
              <w:bottom w:w="80" w:type="dxa"/>
              <w:left w:w="120" w:type="dxa"/>
              <w:right w:w="120" w:type="dxa"/>
            </w:tcMar>
          </w:tcPr>
          <w:p>
            <w:pPr>
              <w:spacing w:before="0" w:after="0"/>
              <w:jc w:val="center"/>
            </w:pPr>
            <w:r>
              <w:rPr>
                <w:rFonts w:ascii="Calibri" w:hAnsi="Calibri"/>
                <w:color w:val="1F2937"/>
                <w:sz w:val="17"/>
              </w:rPr>
              <w:t>552</w:t>
            </w:r>
          </w:p>
        </w:tc>
      </w:tr>
      <w:tr>
        <w:trPr>
          <w:cantSplit/>
        </w:trPr>
        <w:tc>
          <w:tcPr>
            <w:tcW w:type="dxa" w:w="1296"/>
            <w:shd w:fill="FEF3C7"/>
            <w:tcMar>
              <w:top w:w="80" w:type="dxa"/>
              <w:bottom w:w="80" w:type="dxa"/>
              <w:left w:w="120" w:type="dxa"/>
              <w:right w:w="120" w:type="dxa"/>
            </w:tcMar>
          </w:tcPr>
          <w:p>
            <w:pPr>
              <w:spacing w:before="0" w:after="0"/>
              <w:jc w:val="center"/>
            </w:pPr>
            <w:r>
              <w:rPr>
                <w:rFonts w:ascii="Calibri" w:hAnsi="Calibri"/>
                <w:b/>
                <w:color w:val="1F2937"/>
                <w:sz w:val="17"/>
              </w:rPr>
              <w:t>0.35 (Óptimo)</w:t>
            </w:r>
          </w:p>
        </w:tc>
        <w:tc>
          <w:tcPr>
            <w:tcW w:type="dxa" w:w="1008"/>
            <w:shd w:fill="FEF3C7"/>
            <w:tcMar>
              <w:top w:w="80" w:type="dxa"/>
              <w:bottom w:w="80" w:type="dxa"/>
              <w:left w:w="120" w:type="dxa"/>
              <w:right w:w="120" w:type="dxa"/>
            </w:tcMar>
          </w:tcPr>
          <w:p>
            <w:pPr>
              <w:spacing w:before="0" w:after="0"/>
              <w:jc w:val="right"/>
            </w:pPr>
            <w:r>
              <w:rPr>
                <w:rFonts w:ascii="Calibri" w:hAnsi="Calibri"/>
                <w:b/>
                <w:color w:val="1F2937"/>
                <w:sz w:val="17"/>
              </w:rPr>
              <w:t>89.3%</w:t>
            </w:r>
          </w:p>
        </w:tc>
        <w:tc>
          <w:tcPr>
            <w:tcW w:type="dxa" w:w="1008"/>
            <w:shd w:fill="FEF3C7"/>
            <w:tcMar>
              <w:top w:w="80" w:type="dxa"/>
              <w:bottom w:w="80" w:type="dxa"/>
              <w:left w:w="120" w:type="dxa"/>
              <w:right w:w="120" w:type="dxa"/>
            </w:tcMar>
          </w:tcPr>
          <w:p>
            <w:pPr>
              <w:spacing w:before="0" w:after="0"/>
              <w:jc w:val="right"/>
            </w:pPr>
            <w:r>
              <w:rPr>
                <w:rFonts w:ascii="Calibri" w:hAnsi="Calibri"/>
                <w:b/>
                <w:color w:val="1F2937"/>
                <w:sz w:val="17"/>
              </w:rPr>
              <w:t>45.1%</w:t>
            </w:r>
          </w:p>
        </w:tc>
        <w:tc>
          <w:tcPr>
            <w:tcW w:type="dxa" w:w="1008"/>
            <w:shd w:fill="FEF3C7"/>
            <w:tcMar>
              <w:top w:w="80" w:type="dxa"/>
              <w:bottom w:w="80" w:type="dxa"/>
              <w:left w:w="120" w:type="dxa"/>
              <w:right w:w="120" w:type="dxa"/>
            </w:tcMar>
          </w:tcPr>
          <w:p>
            <w:pPr>
              <w:spacing w:before="0" w:after="0"/>
              <w:jc w:val="right"/>
            </w:pPr>
            <w:r>
              <w:rPr>
                <w:rFonts w:ascii="Calibri" w:hAnsi="Calibri"/>
                <w:b/>
                <w:color w:val="1F2937"/>
                <w:sz w:val="17"/>
              </w:rPr>
              <w:t>0.599</w:t>
            </w:r>
          </w:p>
        </w:tc>
        <w:tc>
          <w:tcPr>
            <w:tcW w:type="dxa" w:w="1008"/>
            <w:shd w:fill="FEF3C7"/>
            <w:tcMar>
              <w:top w:w="80" w:type="dxa"/>
              <w:bottom w:w="80" w:type="dxa"/>
              <w:left w:w="120" w:type="dxa"/>
              <w:right w:w="120" w:type="dxa"/>
            </w:tcMar>
          </w:tcPr>
          <w:p>
            <w:pPr>
              <w:spacing w:before="0" w:after="0"/>
              <w:jc w:val="right"/>
            </w:pPr>
            <w:r>
              <w:rPr>
                <w:rFonts w:ascii="Calibri" w:hAnsi="Calibri"/>
                <w:b/>
                <w:color w:val="1F2937"/>
                <w:sz w:val="17"/>
              </w:rPr>
              <w:t>69.8%</w:t>
            </w:r>
          </w:p>
        </w:tc>
        <w:tc>
          <w:tcPr>
            <w:tcW w:type="dxa" w:w="1296"/>
            <w:shd w:fill="FEF3C7"/>
            <w:tcMar>
              <w:top w:w="80" w:type="dxa"/>
              <w:bottom w:w="80" w:type="dxa"/>
              <w:left w:w="120" w:type="dxa"/>
              <w:right w:w="120" w:type="dxa"/>
            </w:tcMar>
          </w:tcPr>
          <w:p>
            <w:pPr>
              <w:spacing w:before="0" w:after="0"/>
              <w:jc w:val="center"/>
            </w:pPr>
            <w:r>
              <w:rPr>
                <w:rFonts w:ascii="Calibri" w:hAnsi="Calibri"/>
                <w:b/>
                <w:color w:val="1F2937"/>
                <w:sz w:val="17"/>
              </w:rPr>
              <w:t>334</w:t>
            </w:r>
          </w:p>
        </w:tc>
        <w:tc>
          <w:tcPr>
            <w:tcW w:type="dxa" w:w="1152"/>
            <w:shd w:fill="FEF3C7"/>
            <w:tcMar>
              <w:top w:w="80" w:type="dxa"/>
              <w:bottom w:w="80" w:type="dxa"/>
              <w:left w:w="120" w:type="dxa"/>
              <w:right w:w="120" w:type="dxa"/>
            </w:tcMar>
          </w:tcPr>
          <w:p>
            <w:pPr>
              <w:spacing w:before="0" w:after="0"/>
              <w:jc w:val="center"/>
            </w:pPr>
            <w:r>
              <w:rPr>
                <w:rFonts w:ascii="Calibri" w:hAnsi="Calibri"/>
                <w:b/>
                <w:color w:val="1F2937"/>
                <w:sz w:val="17"/>
              </w:rPr>
              <w:t>407</w:t>
            </w:r>
          </w:p>
        </w:tc>
        <w:tc>
          <w:tcPr>
            <w:tcW w:type="dxa" w:w="1152"/>
            <w:shd w:fill="FEF3C7"/>
            <w:tcMar>
              <w:top w:w="80" w:type="dxa"/>
              <w:bottom w:w="80" w:type="dxa"/>
              <w:left w:w="120" w:type="dxa"/>
              <w:right w:w="120" w:type="dxa"/>
            </w:tcMar>
          </w:tcPr>
          <w:p>
            <w:pPr>
              <w:spacing w:before="0" w:after="0"/>
              <w:jc w:val="center"/>
            </w:pPr>
            <w:r>
              <w:rPr>
                <w:rFonts w:ascii="Calibri" w:hAnsi="Calibri"/>
                <w:b/>
                <w:color w:val="1F2937"/>
                <w:sz w:val="17"/>
              </w:rPr>
              <w:t>40</w:t>
            </w:r>
          </w:p>
        </w:tc>
        <w:tc>
          <w:tcPr>
            <w:tcW w:type="dxa" w:w="1152"/>
            <w:shd w:fill="FEF3C7"/>
            <w:tcMar>
              <w:top w:w="80" w:type="dxa"/>
              <w:bottom w:w="80" w:type="dxa"/>
              <w:left w:w="120" w:type="dxa"/>
              <w:right w:w="120" w:type="dxa"/>
            </w:tcMar>
          </w:tcPr>
          <w:p>
            <w:pPr>
              <w:spacing w:before="0" w:after="0"/>
              <w:jc w:val="center"/>
            </w:pPr>
            <w:r>
              <w:rPr>
                <w:rFonts w:ascii="Calibri" w:hAnsi="Calibri"/>
                <w:b/>
                <w:color w:val="1F2937"/>
                <w:sz w:val="17"/>
              </w:rPr>
              <w:t>628</w:t>
            </w:r>
          </w:p>
        </w:tc>
      </w:tr>
      <w:tr>
        <w:trPr>
          <w:cantSplit/>
        </w:trPr>
        <w:tc>
          <w:tcPr>
            <w:tcW w:type="dxa" w:w="1296"/>
            <w:shd w:fill="F8FAFC"/>
            <w:tcMar>
              <w:top w:w="80" w:type="dxa"/>
              <w:bottom w:w="80" w:type="dxa"/>
              <w:left w:w="120" w:type="dxa"/>
              <w:right w:w="120" w:type="dxa"/>
            </w:tcMar>
          </w:tcPr>
          <w:p>
            <w:pPr>
              <w:spacing w:before="0" w:after="0"/>
              <w:jc w:val="center"/>
            </w:pPr>
            <w:r>
              <w:rPr>
                <w:rFonts w:ascii="Calibri" w:hAnsi="Calibri"/>
                <w:color w:val="1F2937"/>
                <w:sz w:val="17"/>
              </w:rPr>
              <w:t>0.40</w:t>
            </w:r>
          </w:p>
        </w:tc>
        <w:tc>
          <w:tcPr>
            <w:tcW w:type="dxa" w:w="1008"/>
            <w:shd w:fill="F8FAFC"/>
            <w:tcMar>
              <w:top w:w="80" w:type="dxa"/>
              <w:bottom w:w="80" w:type="dxa"/>
              <w:left w:w="120" w:type="dxa"/>
              <w:right w:w="120" w:type="dxa"/>
            </w:tcMar>
          </w:tcPr>
          <w:p>
            <w:pPr>
              <w:spacing w:before="0" w:after="0"/>
              <w:jc w:val="right"/>
            </w:pPr>
            <w:r>
              <w:rPr>
                <w:rFonts w:ascii="Calibri" w:hAnsi="Calibri"/>
                <w:color w:val="1F2937"/>
                <w:sz w:val="17"/>
              </w:rPr>
              <w:t>86.6%</w:t>
            </w:r>
          </w:p>
        </w:tc>
        <w:tc>
          <w:tcPr>
            <w:tcW w:type="dxa" w:w="1008"/>
            <w:shd w:fill="F8FAFC"/>
            <w:tcMar>
              <w:top w:w="80" w:type="dxa"/>
              <w:bottom w:w="80" w:type="dxa"/>
              <w:left w:w="120" w:type="dxa"/>
              <w:right w:w="120" w:type="dxa"/>
            </w:tcMar>
          </w:tcPr>
          <w:p>
            <w:pPr>
              <w:spacing w:before="0" w:after="0"/>
              <w:jc w:val="right"/>
            </w:pPr>
            <w:r>
              <w:rPr>
                <w:rFonts w:ascii="Calibri" w:hAnsi="Calibri"/>
                <w:color w:val="1F2937"/>
                <w:sz w:val="17"/>
              </w:rPr>
              <w:t>47.9%</w:t>
            </w:r>
          </w:p>
        </w:tc>
        <w:tc>
          <w:tcPr>
            <w:tcW w:type="dxa" w:w="1008"/>
            <w:shd w:fill="F8FAFC"/>
            <w:tcMar>
              <w:top w:w="80" w:type="dxa"/>
              <w:bottom w:w="80" w:type="dxa"/>
              <w:left w:w="120" w:type="dxa"/>
              <w:right w:w="120" w:type="dxa"/>
            </w:tcMar>
          </w:tcPr>
          <w:p>
            <w:pPr>
              <w:spacing w:before="0" w:after="0"/>
              <w:jc w:val="right"/>
            </w:pPr>
            <w:r>
              <w:rPr>
                <w:rFonts w:ascii="Calibri" w:hAnsi="Calibri"/>
                <w:color w:val="1F2937"/>
                <w:sz w:val="17"/>
              </w:rPr>
              <w:t>0.617</w:t>
            </w:r>
          </w:p>
        </w:tc>
        <w:tc>
          <w:tcPr>
            <w:tcW w:type="dxa" w:w="1008"/>
            <w:shd w:fill="F8FAFC"/>
            <w:tcMar>
              <w:top w:w="80" w:type="dxa"/>
              <w:bottom w:w="80" w:type="dxa"/>
              <w:left w:w="120" w:type="dxa"/>
              <w:right w:w="120" w:type="dxa"/>
            </w:tcMar>
          </w:tcPr>
          <w:p>
            <w:pPr>
              <w:spacing w:before="0" w:after="0"/>
              <w:jc w:val="right"/>
            </w:pPr>
            <w:r>
              <w:rPr>
                <w:rFonts w:ascii="Calibri" w:hAnsi="Calibri"/>
                <w:color w:val="1F2937"/>
                <w:sz w:val="17"/>
              </w:rPr>
              <w:t>72.5%</w:t>
            </w:r>
          </w:p>
        </w:tc>
        <w:tc>
          <w:tcPr>
            <w:tcW w:type="dxa" w:w="1296"/>
            <w:shd w:fill="F8FAFC"/>
            <w:tcMar>
              <w:top w:w="80" w:type="dxa"/>
              <w:bottom w:w="80" w:type="dxa"/>
              <w:left w:w="120" w:type="dxa"/>
              <w:right w:w="120" w:type="dxa"/>
            </w:tcMar>
          </w:tcPr>
          <w:p>
            <w:pPr>
              <w:spacing w:before="0" w:after="0"/>
              <w:jc w:val="center"/>
            </w:pPr>
            <w:r>
              <w:rPr>
                <w:rFonts w:ascii="Calibri" w:hAnsi="Calibri"/>
                <w:color w:val="1F2937"/>
                <w:sz w:val="17"/>
              </w:rPr>
              <w:t>324</w:t>
            </w:r>
          </w:p>
        </w:tc>
        <w:tc>
          <w:tcPr>
            <w:tcW w:type="dxa" w:w="1152"/>
            <w:shd w:fill="F8FAFC"/>
            <w:tcMar>
              <w:top w:w="80" w:type="dxa"/>
              <w:bottom w:w="80" w:type="dxa"/>
              <w:left w:w="120" w:type="dxa"/>
              <w:right w:w="120" w:type="dxa"/>
            </w:tcMar>
          </w:tcPr>
          <w:p>
            <w:pPr>
              <w:spacing w:before="0" w:after="0"/>
              <w:jc w:val="center"/>
            </w:pPr>
            <w:r>
              <w:rPr>
                <w:rFonts w:ascii="Calibri" w:hAnsi="Calibri"/>
                <w:color w:val="1F2937"/>
                <w:sz w:val="17"/>
              </w:rPr>
              <w:t>353</w:t>
            </w:r>
          </w:p>
        </w:tc>
        <w:tc>
          <w:tcPr>
            <w:tcW w:type="dxa" w:w="1152"/>
            <w:shd w:fill="F8FAFC"/>
            <w:tcMar>
              <w:top w:w="80" w:type="dxa"/>
              <w:bottom w:w="80" w:type="dxa"/>
              <w:left w:w="120" w:type="dxa"/>
              <w:right w:w="120" w:type="dxa"/>
            </w:tcMar>
          </w:tcPr>
          <w:p>
            <w:pPr>
              <w:spacing w:before="0" w:after="0"/>
              <w:jc w:val="center"/>
            </w:pPr>
            <w:r>
              <w:rPr>
                <w:rFonts w:ascii="Calibri" w:hAnsi="Calibri"/>
                <w:color w:val="1F2937"/>
                <w:sz w:val="17"/>
              </w:rPr>
              <w:t>50</w:t>
            </w:r>
          </w:p>
        </w:tc>
        <w:tc>
          <w:tcPr>
            <w:tcW w:type="dxa" w:w="1152"/>
            <w:shd w:fill="F8FAFC"/>
            <w:tcMar>
              <w:top w:w="80" w:type="dxa"/>
              <w:bottom w:w="80" w:type="dxa"/>
              <w:left w:w="120" w:type="dxa"/>
              <w:right w:w="120" w:type="dxa"/>
            </w:tcMar>
          </w:tcPr>
          <w:p>
            <w:pPr>
              <w:spacing w:before="0" w:after="0"/>
              <w:jc w:val="center"/>
            </w:pPr>
            <w:r>
              <w:rPr>
                <w:rFonts w:ascii="Calibri" w:hAnsi="Calibri"/>
                <w:color w:val="1F2937"/>
                <w:sz w:val="17"/>
              </w:rPr>
              <w:t>682</w:t>
            </w:r>
          </w:p>
        </w:tc>
      </w:tr>
      <w:tr>
        <w:trPr>
          <w:cantSplit/>
        </w:trPr>
        <w:tc>
          <w:tcPr>
            <w:tcW w:type="dxa" w:w="1296"/>
            <w:shd w:fill="FFFFFF"/>
            <w:tcMar>
              <w:top w:w="80" w:type="dxa"/>
              <w:bottom w:w="80" w:type="dxa"/>
              <w:left w:w="120" w:type="dxa"/>
              <w:right w:w="120" w:type="dxa"/>
            </w:tcMar>
          </w:tcPr>
          <w:p>
            <w:pPr>
              <w:spacing w:before="0" w:after="0"/>
              <w:jc w:val="center"/>
            </w:pPr>
            <w:r>
              <w:rPr>
                <w:rFonts w:ascii="Calibri" w:hAnsi="Calibri"/>
                <w:color w:val="1F2937"/>
                <w:sz w:val="17"/>
              </w:rPr>
              <w:t>0.50 (Defecto)</w:t>
            </w:r>
          </w:p>
        </w:tc>
        <w:tc>
          <w:tcPr>
            <w:tcW w:type="dxa" w:w="1008"/>
            <w:shd w:fill="FFFFFF"/>
            <w:tcMar>
              <w:top w:w="80" w:type="dxa"/>
              <w:bottom w:w="80" w:type="dxa"/>
              <w:left w:w="120" w:type="dxa"/>
              <w:right w:w="120" w:type="dxa"/>
            </w:tcMar>
          </w:tcPr>
          <w:p>
            <w:pPr>
              <w:spacing w:before="0" w:after="0"/>
              <w:jc w:val="right"/>
            </w:pPr>
            <w:r>
              <w:rPr>
                <w:rFonts w:ascii="Calibri" w:hAnsi="Calibri"/>
                <w:color w:val="1F2937"/>
                <w:sz w:val="17"/>
              </w:rPr>
              <w:t>80.5%</w:t>
            </w:r>
          </w:p>
        </w:tc>
        <w:tc>
          <w:tcPr>
            <w:tcW w:type="dxa" w:w="1008"/>
            <w:shd w:fill="FFFFFF"/>
            <w:tcMar>
              <w:top w:w="80" w:type="dxa"/>
              <w:bottom w:w="80" w:type="dxa"/>
              <w:left w:w="120" w:type="dxa"/>
              <w:right w:w="120" w:type="dxa"/>
            </w:tcMar>
          </w:tcPr>
          <w:p>
            <w:pPr>
              <w:spacing w:before="0" w:after="0"/>
              <w:jc w:val="right"/>
            </w:pPr>
            <w:r>
              <w:rPr>
                <w:rFonts w:ascii="Calibri" w:hAnsi="Calibri"/>
                <w:color w:val="1F2937"/>
                <w:sz w:val="17"/>
              </w:rPr>
              <w:t>51.5%</w:t>
            </w:r>
          </w:p>
        </w:tc>
        <w:tc>
          <w:tcPr>
            <w:tcW w:type="dxa" w:w="1008"/>
            <w:shd w:fill="FFFFFF"/>
            <w:tcMar>
              <w:top w:w="80" w:type="dxa"/>
              <w:bottom w:w="80" w:type="dxa"/>
              <w:left w:w="120" w:type="dxa"/>
              <w:right w:w="120" w:type="dxa"/>
            </w:tcMar>
          </w:tcPr>
          <w:p>
            <w:pPr>
              <w:spacing w:before="0" w:after="0"/>
              <w:jc w:val="right"/>
            </w:pPr>
            <w:r>
              <w:rPr>
                <w:rFonts w:ascii="Calibri" w:hAnsi="Calibri"/>
                <w:color w:val="1F2937"/>
                <w:sz w:val="17"/>
              </w:rPr>
              <w:t>0.628</w:t>
            </w:r>
          </w:p>
        </w:tc>
        <w:tc>
          <w:tcPr>
            <w:tcW w:type="dxa" w:w="1008"/>
            <w:shd w:fill="FFFFFF"/>
            <w:tcMar>
              <w:top w:w="80" w:type="dxa"/>
              <w:bottom w:w="80" w:type="dxa"/>
              <w:left w:w="120" w:type="dxa"/>
              <w:right w:w="120" w:type="dxa"/>
            </w:tcMar>
          </w:tcPr>
          <w:p>
            <w:pPr>
              <w:spacing w:before="0" w:after="0"/>
              <w:jc w:val="right"/>
            </w:pPr>
            <w:r>
              <w:rPr>
                <w:rFonts w:ascii="Calibri" w:hAnsi="Calibri"/>
                <w:color w:val="1F2937"/>
                <w:sz w:val="17"/>
              </w:rPr>
              <w:t>74.7%</w:t>
            </w:r>
          </w:p>
        </w:tc>
        <w:tc>
          <w:tcPr>
            <w:tcW w:type="dxa" w:w="1296"/>
            <w:shd w:fill="FFFFFF"/>
            <w:tcMar>
              <w:top w:w="80" w:type="dxa"/>
              <w:bottom w:w="80" w:type="dxa"/>
              <w:left w:w="120" w:type="dxa"/>
              <w:right w:w="120" w:type="dxa"/>
            </w:tcMar>
          </w:tcPr>
          <w:p>
            <w:pPr>
              <w:spacing w:before="0" w:after="0"/>
              <w:jc w:val="center"/>
            </w:pPr>
            <w:r>
              <w:rPr>
                <w:rFonts w:ascii="Calibri" w:hAnsi="Calibri"/>
                <w:color w:val="1F2937"/>
                <w:sz w:val="17"/>
              </w:rPr>
              <w:t>301</w:t>
            </w:r>
          </w:p>
        </w:tc>
        <w:tc>
          <w:tcPr>
            <w:tcW w:type="dxa" w:w="1152"/>
            <w:shd w:fill="FFFFFF"/>
            <w:tcMar>
              <w:top w:w="80" w:type="dxa"/>
              <w:bottom w:w="80" w:type="dxa"/>
              <w:left w:w="120" w:type="dxa"/>
              <w:right w:w="120" w:type="dxa"/>
            </w:tcMar>
          </w:tcPr>
          <w:p>
            <w:pPr>
              <w:spacing w:before="0" w:after="0"/>
              <w:jc w:val="center"/>
            </w:pPr>
            <w:r>
              <w:rPr>
                <w:rFonts w:ascii="Calibri" w:hAnsi="Calibri"/>
                <w:color w:val="1F2937"/>
                <w:sz w:val="17"/>
              </w:rPr>
              <w:t>284</w:t>
            </w:r>
          </w:p>
        </w:tc>
        <w:tc>
          <w:tcPr>
            <w:tcW w:type="dxa" w:w="1152"/>
            <w:shd w:fill="FFFFFF"/>
            <w:tcMar>
              <w:top w:w="80" w:type="dxa"/>
              <w:bottom w:w="80" w:type="dxa"/>
              <w:left w:w="120" w:type="dxa"/>
              <w:right w:w="120" w:type="dxa"/>
            </w:tcMar>
          </w:tcPr>
          <w:p>
            <w:pPr>
              <w:spacing w:before="0" w:after="0"/>
              <w:jc w:val="center"/>
            </w:pPr>
            <w:r>
              <w:rPr>
                <w:rFonts w:ascii="Calibri" w:hAnsi="Calibri"/>
                <w:color w:val="1F2937"/>
                <w:sz w:val="17"/>
              </w:rPr>
              <w:t>73</w:t>
            </w:r>
          </w:p>
        </w:tc>
        <w:tc>
          <w:tcPr>
            <w:tcW w:type="dxa" w:w="1152"/>
            <w:shd w:fill="FFFFFF"/>
            <w:tcMar>
              <w:top w:w="80" w:type="dxa"/>
              <w:bottom w:w="80" w:type="dxa"/>
              <w:left w:w="120" w:type="dxa"/>
              <w:right w:w="120" w:type="dxa"/>
            </w:tcMar>
          </w:tcPr>
          <w:p>
            <w:pPr>
              <w:spacing w:before="0" w:after="0"/>
              <w:jc w:val="center"/>
            </w:pPr>
            <w:r>
              <w:rPr>
                <w:rFonts w:ascii="Calibri" w:hAnsi="Calibri"/>
                <w:color w:val="1F2937"/>
                <w:sz w:val="17"/>
              </w:rPr>
              <w:t>751</w:t>
            </w:r>
          </w:p>
        </w:tc>
      </w:tr>
      <w:tr>
        <w:trPr>
          <w:cantSplit/>
        </w:trPr>
        <w:tc>
          <w:tcPr>
            <w:tcW w:type="dxa" w:w="1296"/>
            <w:shd w:fill="F8FAFC"/>
            <w:tcMar>
              <w:top w:w="80" w:type="dxa"/>
              <w:bottom w:w="80" w:type="dxa"/>
              <w:left w:w="120" w:type="dxa"/>
              <w:right w:w="120" w:type="dxa"/>
            </w:tcMar>
          </w:tcPr>
          <w:p>
            <w:pPr>
              <w:spacing w:before="0" w:after="0"/>
              <w:jc w:val="center"/>
            </w:pPr>
            <w:r>
              <w:rPr>
                <w:rFonts w:ascii="Calibri" w:hAnsi="Calibri"/>
                <w:color w:val="1F2937"/>
                <w:sz w:val="17"/>
              </w:rPr>
              <w:t>0.60</w:t>
            </w:r>
          </w:p>
        </w:tc>
        <w:tc>
          <w:tcPr>
            <w:tcW w:type="dxa" w:w="1008"/>
            <w:shd w:fill="F8FAFC"/>
            <w:tcMar>
              <w:top w:w="80" w:type="dxa"/>
              <w:bottom w:w="80" w:type="dxa"/>
              <w:left w:w="120" w:type="dxa"/>
              <w:right w:w="120" w:type="dxa"/>
            </w:tcMar>
          </w:tcPr>
          <w:p>
            <w:pPr>
              <w:spacing w:before="0" w:after="0"/>
              <w:jc w:val="right"/>
            </w:pPr>
            <w:r>
              <w:rPr>
                <w:rFonts w:ascii="Calibri" w:hAnsi="Calibri"/>
                <w:color w:val="1F2937"/>
                <w:sz w:val="17"/>
              </w:rPr>
              <w:t>65.2%</w:t>
            </w:r>
          </w:p>
        </w:tc>
        <w:tc>
          <w:tcPr>
            <w:tcW w:type="dxa" w:w="1008"/>
            <w:shd w:fill="F8FAFC"/>
            <w:tcMar>
              <w:top w:w="80" w:type="dxa"/>
              <w:bottom w:w="80" w:type="dxa"/>
              <w:left w:w="120" w:type="dxa"/>
              <w:right w:w="120" w:type="dxa"/>
            </w:tcMar>
          </w:tcPr>
          <w:p>
            <w:pPr>
              <w:spacing w:before="0" w:after="0"/>
              <w:jc w:val="right"/>
            </w:pPr>
            <w:r>
              <w:rPr>
                <w:rFonts w:ascii="Calibri" w:hAnsi="Calibri"/>
                <w:color w:val="1F2937"/>
                <w:sz w:val="17"/>
              </w:rPr>
              <w:t>57.0%</w:t>
            </w:r>
          </w:p>
        </w:tc>
        <w:tc>
          <w:tcPr>
            <w:tcW w:type="dxa" w:w="1008"/>
            <w:shd w:fill="F8FAFC"/>
            <w:tcMar>
              <w:top w:w="80" w:type="dxa"/>
              <w:bottom w:w="80" w:type="dxa"/>
              <w:left w:w="120" w:type="dxa"/>
              <w:right w:w="120" w:type="dxa"/>
            </w:tcMar>
          </w:tcPr>
          <w:p>
            <w:pPr>
              <w:spacing w:before="0" w:after="0"/>
              <w:jc w:val="right"/>
            </w:pPr>
            <w:r>
              <w:rPr>
                <w:rFonts w:ascii="Calibri" w:hAnsi="Calibri"/>
                <w:color w:val="1F2937"/>
                <w:sz w:val="17"/>
              </w:rPr>
              <w:t>0.608</w:t>
            </w:r>
          </w:p>
        </w:tc>
        <w:tc>
          <w:tcPr>
            <w:tcW w:type="dxa" w:w="1008"/>
            <w:shd w:fill="F8FAFC"/>
            <w:tcMar>
              <w:top w:w="80" w:type="dxa"/>
              <w:bottom w:w="80" w:type="dxa"/>
              <w:left w:w="120" w:type="dxa"/>
              <w:right w:w="120" w:type="dxa"/>
            </w:tcMar>
          </w:tcPr>
          <w:p>
            <w:pPr>
              <w:spacing w:before="0" w:after="0"/>
              <w:jc w:val="right"/>
            </w:pPr>
            <w:r>
              <w:rPr>
                <w:rFonts w:ascii="Calibri" w:hAnsi="Calibri"/>
                <w:color w:val="1F2937"/>
                <w:sz w:val="17"/>
              </w:rPr>
              <w:t>77.4%</w:t>
            </w:r>
          </w:p>
        </w:tc>
        <w:tc>
          <w:tcPr>
            <w:tcW w:type="dxa" w:w="1296"/>
            <w:shd w:fill="F8FAFC"/>
            <w:tcMar>
              <w:top w:w="80" w:type="dxa"/>
              <w:bottom w:w="80" w:type="dxa"/>
              <w:left w:w="120" w:type="dxa"/>
              <w:right w:w="120" w:type="dxa"/>
            </w:tcMar>
          </w:tcPr>
          <w:p>
            <w:pPr>
              <w:spacing w:before="0" w:after="0"/>
              <w:jc w:val="center"/>
            </w:pPr>
            <w:r>
              <w:rPr>
                <w:rFonts w:ascii="Calibri" w:hAnsi="Calibri"/>
                <w:color w:val="1F2937"/>
                <w:sz w:val="17"/>
              </w:rPr>
              <w:t>244</w:t>
            </w:r>
          </w:p>
        </w:tc>
        <w:tc>
          <w:tcPr>
            <w:tcW w:type="dxa" w:w="1152"/>
            <w:shd w:fill="F8FAFC"/>
            <w:tcMar>
              <w:top w:w="80" w:type="dxa"/>
              <w:bottom w:w="80" w:type="dxa"/>
              <w:left w:w="120" w:type="dxa"/>
              <w:right w:w="120" w:type="dxa"/>
            </w:tcMar>
          </w:tcPr>
          <w:p>
            <w:pPr>
              <w:spacing w:before="0" w:after="0"/>
              <w:jc w:val="center"/>
            </w:pPr>
            <w:r>
              <w:rPr>
                <w:rFonts w:ascii="Calibri" w:hAnsi="Calibri"/>
                <w:color w:val="1F2937"/>
                <w:sz w:val="17"/>
              </w:rPr>
              <w:t>184</w:t>
            </w:r>
          </w:p>
        </w:tc>
        <w:tc>
          <w:tcPr>
            <w:tcW w:type="dxa" w:w="1152"/>
            <w:shd w:fill="F8FAFC"/>
            <w:tcMar>
              <w:top w:w="80" w:type="dxa"/>
              <w:bottom w:w="80" w:type="dxa"/>
              <w:left w:w="120" w:type="dxa"/>
              <w:right w:w="120" w:type="dxa"/>
            </w:tcMar>
          </w:tcPr>
          <w:p>
            <w:pPr>
              <w:spacing w:before="0" w:after="0"/>
              <w:jc w:val="center"/>
            </w:pPr>
            <w:r>
              <w:rPr>
                <w:rFonts w:ascii="Calibri" w:hAnsi="Calibri"/>
                <w:color w:val="1F2937"/>
                <w:sz w:val="17"/>
              </w:rPr>
              <w:t>130</w:t>
            </w:r>
          </w:p>
        </w:tc>
        <w:tc>
          <w:tcPr>
            <w:tcW w:type="dxa" w:w="1152"/>
            <w:shd w:fill="F8FAFC"/>
            <w:tcMar>
              <w:top w:w="80" w:type="dxa"/>
              <w:bottom w:w="80" w:type="dxa"/>
              <w:left w:w="120" w:type="dxa"/>
              <w:right w:w="120" w:type="dxa"/>
            </w:tcMar>
          </w:tcPr>
          <w:p>
            <w:pPr>
              <w:spacing w:before="0" w:after="0"/>
              <w:jc w:val="center"/>
            </w:pPr>
            <w:r>
              <w:rPr>
                <w:rFonts w:ascii="Calibri" w:hAnsi="Calibri"/>
                <w:color w:val="1F2937"/>
                <w:sz w:val="17"/>
              </w:rPr>
              <w:t>851</w:t>
            </w:r>
          </w:p>
        </w:tc>
      </w:tr>
      <w:tr>
        <w:trPr>
          <w:cantSplit/>
        </w:trPr>
        <w:tc>
          <w:tcPr>
            <w:tcW w:type="dxa" w:w="1296"/>
            <w:shd w:fill="FFFFFF"/>
            <w:tcMar>
              <w:top w:w="80" w:type="dxa"/>
              <w:bottom w:w="80" w:type="dxa"/>
              <w:left w:w="120" w:type="dxa"/>
              <w:right w:w="120" w:type="dxa"/>
            </w:tcMar>
          </w:tcPr>
          <w:p>
            <w:pPr>
              <w:spacing w:before="0" w:after="0"/>
              <w:jc w:val="center"/>
            </w:pPr>
            <w:r>
              <w:rPr>
                <w:rFonts w:ascii="Calibri" w:hAnsi="Calibri"/>
                <w:color w:val="1F2937"/>
                <w:sz w:val="17"/>
              </w:rPr>
              <w:t>0.70</w:t>
            </w:r>
          </w:p>
        </w:tc>
        <w:tc>
          <w:tcPr>
            <w:tcW w:type="dxa" w:w="1008"/>
            <w:shd w:fill="FFFFFF"/>
            <w:tcMar>
              <w:top w:w="80" w:type="dxa"/>
              <w:bottom w:w="80" w:type="dxa"/>
              <w:left w:w="120" w:type="dxa"/>
              <w:right w:w="120" w:type="dxa"/>
            </w:tcMar>
          </w:tcPr>
          <w:p>
            <w:pPr>
              <w:spacing w:before="0" w:after="0"/>
              <w:jc w:val="right"/>
            </w:pPr>
            <w:r>
              <w:rPr>
                <w:rFonts w:ascii="Calibri" w:hAnsi="Calibri"/>
                <w:color w:val="1F2937"/>
                <w:sz w:val="17"/>
              </w:rPr>
              <w:t>46.5%</w:t>
            </w:r>
          </w:p>
        </w:tc>
        <w:tc>
          <w:tcPr>
            <w:tcW w:type="dxa" w:w="1008"/>
            <w:shd w:fill="FFFFFF"/>
            <w:tcMar>
              <w:top w:w="80" w:type="dxa"/>
              <w:bottom w:w="80" w:type="dxa"/>
              <w:left w:w="120" w:type="dxa"/>
              <w:right w:w="120" w:type="dxa"/>
            </w:tcMar>
          </w:tcPr>
          <w:p>
            <w:pPr>
              <w:spacing w:before="0" w:after="0"/>
              <w:jc w:val="right"/>
            </w:pPr>
            <w:r>
              <w:rPr>
                <w:rFonts w:ascii="Calibri" w:hAnsi="Calibri"/>
                <w:color w:val="1F2937"/>
                <w:sz w:val="17"/>
              </w:rPr>
              <w:t>66.4%</w:t>
            </w:r>
          </w:p>
        </w:tc>
        <w:tc>
          <w:tcPr>
            <w:tcW w:type="dxa" w:w="1008"/>
            <w:shd w:fill="FFFFFF"/>
            <w:tcMar>
              <w:top w:w="80" w:type="dxa"/>
              <w:bottom w:w="80" w:type="dxa"/>
              <w:left w:w="120" w:type="dxa"/>
              <w:right w:w="120" w:type="dxa"/>
            </w:tcMar>
          </w:tcPr>
          <w:p>
            <w:pPr>
              <w:spacing w:before="0" w:after="0"/>
              <w:jc w:val="right"/>
            </w:pPr>
            <w:r>
              <w:rPr>
                <w:rFonts w:ascii="Calibri" w:hAnsi="Calibri"/>
                <w:color w:val="1F2937"/>
                <w:sz w:val="17"/>
              </w:rPr>
              <w:t>0.547</w:t>
            </w:r>
          </w:p>
        </w:tc>
        <w:tc>
          <w:tcPr>
            <w:tcW w:type="dxa" w:w="1008"/>
            <w:shd w:fill="FFFFFF"/>
            <w:tcMar>
              <w:top w:w="80" w:type="dxa"/>
              <w:bottom w:w="80" w:type="dxa"/>
              <w:left w:w="120" w:type="dxa"/>
              <w:right w:w="120" w:type="dxa"/>
            </w:tcMar>
          </w:tcPr>
          <w:p>
            <w:pPr>
              <w:spacing w:before="0" w:after="0"/>
              <w:jc w:val="right"/>
            </w:pPr>
            <w:r>
              <w:rPr>
                <w:rFonts w:ascii="Calibri" w:hAnsi="Calibri"/>
                <w:color w:val="1F2937"/>
                <w:sz w:val="17"/>
              </w:rPr>
              <w:t>79.9%</w:t>
            </w:r>
          </w:p>
        </w:tc>
        <w:tc>
          <w:tcPr>
            <w:tcW w:type="dxa" w:w="1296"/>
            <w:shd w:fill="FFFFFF"/>
            <w:tcMar>
              <w:top w:w="80" w:type="dxa"/>
              <w:bottom w:w="80" w:type="dxa"/>
              <w:left w:w="120" w:type="dxa"/>
              <w:right w:w="120" w:type="dxa"/>
            </w:tcMar>
          </w:tcPr>
          <w:p>
            <w:pPr>
              <w:spacing w:before="0" w:after="0"/>
              <w:jc w:val="center"/>
            </w:pPr>
            <w:r>
              <w:rPr>
                <w:rFonts w:ascii="Calibri" w:hAnsi="Calibri"/>
                <w:color w:val="1F2937"/>
                <w:sz w:val="17"/>
              </w:rPr>
              <w:t>174</w:t>
            </w:r>
          </w:p>
        </w:tc>
        <w:tc>
          <w:tcPr>
            <w:tcW w:type="dxa" w:w="1152"/>
            <w:shd w:fill="FFFFFF"/>
            <w:tcMar>
              <w:top w:w="80" w:type="dxa"/>
              <w:bottom w:w="80" w:type="dxa"/>
              <w:left w:w="120" w:type="dxa"/>
              <w:right w:w="120" w:type="dxa"/>
            </w:tcMar>
          </w:tcPr>
          <w:p>
            <w:pPr>
              <w:spacing w:before="0" w:after="0"/>
              <w:jc w:val="center"/>
            </w:pPr>
            <w:r>
              <w:rPr>
                <w:rFonts w:ascii="Calibri" w:hAnsi="Calibri"/>
                <w:color w:val="1F2937"/>
                <w:sz w:val="17"/>
              </w:rPr>
              <w:t>88</w:t>
            </w:r>
          </w:p>
        </w:tc>
        <w:tc>
          <w:tcPr>
            <w:tcW w:type="dxa" w:w="1152"/>
            <w:shd w:fill="FFFFFF"/>
            <w:tcMar>
              <w:top w:w="80" w:type="dxa"/>
              <w:bottom w:w="80" w:type="dxa"/>
              <w:left w:w="120" w:type="dxa"/>
              <w:right w:w="120" w:type="dxa"/>
            </w:tcMar>
          </w:tcPr>
          <w:p>
            <w:pPr>
              <w:spacing w:before="0" w:after="0"/>
              <w:jc w:val="center"/>
            </w:pPr>
            <w:r>
              <w:rPr>
                <w:rFonts w:ascii="Calibri" w:hAnsi="Calibri"/>
                <w:color w:val="1F2937"/>
                <w:sz w:val="17"/>
              </w:rPr>
              <w:t>200</w:t>
            </w:r>
          </w:p>
        </w:tc>
        <w:tc>
          <w:tcPr>
            <w:tcW w:type="dxa" w:w="1152"/>
            <w:shd w:fill="FFFFFF"/>
            <w:tcMar>
              <w:top w:w="80" w:type="dxa"/>
              <w:bottom w:w="80" w:type="dxa"/>
              <w:left w:w="120" w:type="dxa"/>
              <w:right w:w="120" w:type="dxa"/>
            </w:tcMar>
          </w:tcPr>
          <w:p>
            <w:pPr>
              <w:spacing w:before="0" w:after="0"/>
              <w:jc w:val="center"/>
            </w:pPr>
            <w:r>
              <w:rPr>
                <w:rFonts w:ascii="Calibri" w:hAnsi="Calibri"/>
                <w:color w:val="1F2937"/>
                <w:sz w:val="17"/>
              </w:rPr>
              <w:t>947</w:t>
            </w:r>
          </w:p>
        </w:tc>
      </w:tr>
    </w:tbl>
    <w:p>
      <w:pPr>
        <w:spacing w:before="0" w:after="120"/>
      </w:pPr>
    </w:p>
    <w:p>
      <w:pPr>
        <w:keepNext/>
        <w:spacing w:before="120" w:after="40"/>
        <w:jc w:val="center"/>
      </w:pPr>
      <w:r>
        <w:drawing>
          <wp:inline xmlns:a="http://schemas.openxmlformats.org/drawingml/2006/main" xmlns:pic="http://schemas.openxmlformats.org/drawingml/2006/picture">
            <wp:extent cx="5303520" cy="2651760"/>
            <wp:docPr id="12" name="Picture 12"/>
            <wp:cNvGraphicFramePr>
              <a:graphicFrameLocks noChangeAspect="1"/>
            </wp:cNvGraphicFramePr>
            <a:graphic>
              <a:graphicData uri="http://schemas.openxmlformats.org/drawingml/2006/picture">
                <pic:pic>
                  <pic:nvPicPr>
                    <pic:cNvPr id="0" name="fig12_threshold_tuning_curves.png"/>
                    <pic:cNvPicPr/>
                  </pic:nvPicPr>
                  <pic:blipFill>
                    <a:blip r:embed="rId22"/>
                    <a:stretch>
                      <a:fillRect/>
                    </a:stretch>
                  </pic:blipFill>
                  <pic:spPr>
                    <a:xfrm>
                      <a:off x="0" y="0"/>
                      <a:ext cx="5303520" cy="2651760"/>
                    </a:xfrm>
                    <a:prstGeom prst="rect"/>
                  </pic:spPr>
                </pic:pic>
              </a:graphicData>
            </a:graphic>
          </wp:inline>
        </w:drawing>
      </w:r>
    </w:p>
    <w:p>
      <w:pPr>
        <w:spacing w:before="40" w:after="160"/>
        <w:jc w:val="center"/>
      </w:pPr>
      <w:r>
        <w:rPr>
          <w:rFonts w:ascii="Calibri" w:hAnsi="Calibri"/>
          <w:i/>
          <w:color w:val="4B5563"/>
          <w:sz w:val="18"/>
        </w:rPr>
        <w:t>Figura 12: Curvas de Compromiso Precision, Recall y F1-Score según Umbral de Decisión</w:t>
      </w:r>
    </w:p>
    <w:p>
      <w:pPr>
        <w:keepNext/>
        <w:spacing w:before="120" w:after="40"/>
        <w:jc w:val="center"/>
      </w:pPr>
      <w:r>
        <w:drawing>
          <wp:inline xmlns:a="http://schemas.openxmlformats.org/drawingml/2006/main" xmlns:pic="http://schemas.openxmlformats.org/drawingml/2006/picture">
            <wp:extent cx="5303520" cy="4419600"/>
            <wp:docPr id="13" name="Picture 13"/>
            <wp:cNvGraphicFramePr>
              <a:graphicFrameLocks noChangeAspect="1"/>
            </wp:cNvGraphicFramePr>
            <a:graphic>
              <a:graphicData uri="http://schemas.openxmlformats.org/drawingml/2006/picture">
                <pic:pic>
                  <pic:nvPicPr>
                    <pic:cNvPr id="0" name="fig13_confusion_matrix_business_035.png"/>
                    <pic:cNvPicPr/>
                  </pic:nvPicPr>
                  <pic:blipFill>
                    <a:blip r:embed="rId23"/>
                    <a:stretch>
                      <a:fillRect/>
                    </a:stretch>
                  </pic:blipFill>
                  <pic:spPr>
                    <a:xfrm>
                      <a:off x="0" y="0"/>
                      <a:ext cx="5303520" cy="4419600"/>
                    </a:xfrm>
                    <a:prstGeom prst="rect"/>
                  </pic:spPr>
                </pic:pic>
              </a:graphicData>
            </a:graphic>
          </wp:inline>
        </w:drawing>
      </w:r>
    </w:p>
    <w:p>
      <w:pPr>
        <w:spacing w:before="40" w:after="160"/>
        <w:jc w:val="center"/>
      </w:pPr>
      <w:r>
        <w:rPr>
          <w:rFonts w:ascii="Calibri" w:hAnsi="Calibri"/>
          <w:i/>
          <w:color w:val="4B5563"/>
          <w:sz w:val="18"/>
        </w:rPr>
        <w:t>Figura 13: Comparativa de Matrices de Confusión: Umbral Estándar (0.50) vs. Umbral Óptimo de Negocio (0.35)</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36" w:space="0" w:color="1B365D"/>
              <w:bottom w:val="none"/>
              <w:right w:val="none"/>
            </w:tcBorders>
            <w:tcMar>
              <w:top w:w="140" w:type="dxa"/>
              <w:bottom w:w="140" w:type="dxa"/>
              <w:left w:w="200" w:type="dxa"/>
              <w:right w:w="200" w:type="dxa"/>
            </w:tcMar>
          </w:tcPr>
          <w:p>
            <w:pPr>
              <w:spacing w:before="0" w:after="40" w:line="276" w:lineRule="auto"/>
            </w:pPr>
            <w:r>
              <w:rPr>
                <w:rFonts w:ascii="Calibri" w:hAnsi="Calibri"/>
                <w:b/>
                <w:color w:val="1B365D"/>
                <w:sz w:val="20"/>
              </w:rPr>
              <w:t>📌 Justificación de Selección del Umbral Óptimo de Negocio (Threshold = 0.35)</w:t>
              <w:br/>
            </w:r>
            <w:r>
              <w:rPr>
                <w:rFonts w:ascii="Calibri" w:hAnsi="Calibri"/>
                <w:i/>
                <w:color w:val="1E293B"/>
                <w:sz w:val="19"/>
              </w:rPr>
              <w:t>• Al calibrar el punto de corte en 0.35, el Recall asciende al 89,30%.</w:t>
              <w:br/>
              <w:t>• Esto permite recuperar 33 clientes en riesgo adicionales (pasando de 301 a 334 clientes detectados sobre las 374 bajas reales), reduciendo los falsos negativos a tan sólo 40 casos.</w:t>
              <w:br/>
              <w:t>• El costo comercial adicional asociado a las 123 falsas alarmas extras es insignificante en comparación con el valor financiero de los ingresos mensuales salvados por retener a esas 33 cuentas.</w:t>
            </w:r>
          </w:p>
        </w:tc>
      </w:tr>
    </w:tbl>
    <w:p>
      <w:pPr>
        <w:spacing w:before="0" w:after="80"/>
      </w:pPr>
    </w:p>
    <w:p>
      <w:pPr>
        <w:keepNext/>
        <w:spacing w:before="320" w:after="80"/>
      </w:pPr>
      <w:r>
        <w:rPr>
          <w:rFonts w:ascii="Calibri" w:hAnsi="Calibri"/>
          <w:b/>
          <w:color w:val="1B365D"/>
          <w:sz w:val="29"/>
        </w:rPr>
        <w:t>11. Interpretabilidad y Explicabilidad con SHAP (Global y Local)</w:t>
      </w:r>
    </w:p>
    <w:p>
      <w:pPr>
        <w:spacing w:before="0" w:after="80" w:line="276" w:lineRule="auto"/>
      </w:pPr>
      <w:r>
        <w:rPr>
          <w:rFonts w:ascii="Calibri" w:hAnsi="Calibri"/>
          <w:color w:val="1F2937"/>
          <w:sz w:val="20"/>
        </w:rPr>
        <w:t>Para eliminar el paradigma de 'caja negra' y proporcionar al equipo de negocio herramientas de auditoría transparentes, se aplicó la librería SHAP (SHapley Additive exPlanations) utilizando el algoritmo TreeExplainer sobre el clasificador XGBoost.</w:t>
      </w:r>
    </w:p>
    <w:p>
      <w:pPr>
        <w:keepNext/>
        <w:spacing w:before="220" w:after="60"/>
      </w:pPr>
      <w:r>
        <w:rPr>
          <w:rFonts w:ascii="Calibri" w:hAnsi="Calibri"/>
          <w:b/>
          <w:color w:val="2B5B84"/>
          <w:sz w:val="24"/>
        </w:rPr>
        <w:t>11.1 Explicabilidad Global: Summary Plot (Beeswarm)</w:t>
      </w:r>
    </w:p>
    <w:p>
      <w:pPr>
        <w:keepNext/>
        <w:spacing w:before="120" w:after="40"/>
        <w:jc w:val="center"/>
      </w:pPr>
      <w:r>
        <w:drawing>
          <wp:inline xmlns:a="http://schemas.openxmlformats.org/drawingml/2006/main" xmlns:pic="http://schemas.openxmlformats.org/drawingml/2006/picture">
            <wp:extent cx="5303520" cy="4972050"/>
            <wp:docPr id="14" name="Picture 14"/>
            <wp:cNvGraphicFramePr>
              <a:graphicFrameLocks noChangeAspect="1"/>
            </wp:cNvGraphicFramePr>
            <a:graphic>
              <a:graphicData uri="http://schemas.openxmlformats.org/drawingml/2006/picture">
                <pic:pic>
                  <pic:nvPicPr>
                    <pic:cNvPr id="0" name="fig14_shap_summary_beeswarm.png"/>
                    <pic:cNvPicPr/>
                  </pic:nvPicPr>
                  <pic:blipFill>
                    <a:blip r:embed="rId24"/>
                    <a:stretch>
                      <a:fillRect/>
                    </a:stretch>
                  </pic:blipFill>
                  <pic:spPr>
                    <a:xfrm>
                      <a:off x="0" y="0"/>
                      <a:ext cx="5303520" cy="4972050"/>
                    </a:xfrm>
                    <a:prstGeom prst="rect"/>
                  </pic:spPr>
                </pic:pic>
              </a:graphicData>
            </a:graphic>
          </wp:inline>
        </w:drawing>
      </w:r>
    </w:p>
    <w:p>
      <w:pPr>
        <w:spacing w:before="40" w:after="160"/>
        <w:jc w:val="center"/>
      </w:pPr>
      <w:r>
        <w:rPr>
          <w:rFonts w:ascii="Calibri" w:hAnsi="Calibri"/>
          <w:i/>
          <w:color w:val="4B5563"/>
          <w:sz w:val="18"/>
        </w:rPr>
        <w:t>Figura 14: SHAP Summary Beeswarm Plot — Impacto de Atributos en la Predicción de Churn</w:t>
      </w:r>
    </w:p>
    <w:p>
      <w:pPr>
        <w:pStyle w:val="ListBullet"/>
        <w:spacing w:before="0" w:after="50" w:line="276" w:lineRule="auto"/>
        <w:ind w:left="360"/>
      </w:pPr>
      <w:r>
        <w:rPr>
          <w:rFonts w:ascii="Calibri" w:hAnsi="Calibri"/>
          <w:b/>
          <w:color w:val="1F2937"/>
          <w:sz w:val="20"/>
        </w:rPr>
        <w:t xml:space="preserve">Eje Horizontal (SHAP Value): </w:t>
      </w:r>
      <w:r>
        <w:rPr>
          <w:rFonts w:ascii="Calibri" w:hAnsi="Calibri"/>
          <w:color w:val="1F2937"/>
          <w:sz w:val="20"/>
        </w:rPr>
        <w:t>Impacto en el log-odds de la predicción. Valores a la derecha impulsan el riesgo de Churn; valores a la izquierda disminuyen el riesgo.</w:t>
      </w:r>
    </w:p>
    <w:p>
      <w:pPr>
        <w:pStyle w:val="ListBullet"/>
        <w:spacing w:before="0" w:after="50" w:line="276" w:lineRule="auto"/>
        <w:ind w:left="360"/>
      </w:pPr>
      <w:r>
        <w:rPr>
          <w:rFonts w:ascii="Calibri" w:hAnsi="Calibri"/>
          <w:b/>
          <w:color w:val="1F2937"/>
          <w:sz w:val="20"/>
        </w:rPr>
        <w:t xml:space="preserve">Color: </w:t>
      </w:r>
      <w:r>
        <w:rPr>
          <w:rFonts w:ascii="Calibri" w:hAnsi="Calibri"/>
          <w:color w:val="1F2937"/>
          <w:sz w:val="20"/>
        </w:rPr>
        <w:t>Rojo indica un valor alto de la característica; azul indica un valor bajo.</w:t>
      </w:r>
    </w:p>
    <w:p>
      <w:pPr>
        <w:keepNext/>
        <w:spacing w:before="220" w:after="60"/>
      </w:pPr>
      <w:r>
        <w:rPr>
          <w:rFonts w:ascii="Calibri" w:hAnsi="Calibri"/>
          <w:b/>
          <w:color w:val="2B5B84"/>
          <w:sz w:val="24"/>
        </w:rPr>
        <w:t>11.2 Importancia Global de Atributos (Mean Absolute SHAP)</w:t>
      </w:r>
    </w:p>
    <w:p>
      <w:pPr>
        <w:keepNext/>
        <w:spacing w:before="120" w:after="40"/>
        <w:jc w:val="center"/>
      </w:pPr>
      <w:r>
        <w:drawing>
          <wp:inline xmlns:a="http://schemas.openxmlformats.org/drawingml/2006/main" xmlns:pic="http://schemas.openxmlformats.org/drawingml/2006/picture">
            <wp:extent cx="5303520" cy="4176522"/>
            <wp:docPr id="15" name="Picture 15"/>
            <wp:cNvGraphicFramePr>
              <a:graphicFrameLocks noChangeAspect="1"/>
            </wp:cNvGraphicFramePr>
            <a:graphic>
              <a:graphicData uri="http://schemas.openxmlformats.org/drawingml/2006/picture">
                <pic:pic>
                  <pic:nvPicPr>
                    <pic:cNvPr id="0" name="fig15_shap_importance_bar.png"/>
                    <pic:cNvPicPr/>
                  </pic:nvPicPr>
                  <pic:blipFill>
                    <a:blip r:embed="rId25"/>
                    <a:stretch>
                      <a:fillRect/>
                    </a:stretch>
                  </pic:blipFill>
                  <pic:spPr>
                    <a:xfrm>
                      <a:off x="0" y="0"/>
                      <a:ext cx="5303520" cy="4176522"/>
                    </a:xfrm>
                    <a:prstGeom prst="rect"/>
                  </pic:spPr>
                </pic:pic>
              </a:graphicData>
            </a:graphic>
          </wp:inline>
        </w:drawing>
      </w:r>
    </w:p>
    <w:p>
      <w:pPr>
        <w:spacing w:before="40" w:after="160"/>
        <w:jc w:val="center"/>
      </w:pPr>
      <w:r>
        <w:rPr>
          <w:rFonts w:ascii="Calibri" w:hAnsi="Calibri"/>
          <w:i/>
          <w:color w:val="4B5563"/>
          <w:sz w:val="18"/>
        </w:rPr>
        <w:t>Figura 15: Importancia Global de Atributos según Media de Valores Absolutos SHAP</w:t>
      </w:r>
    </w:p>
    <w:p>
      <w:pPr>
        <w:keepNext/>
        <w:spacing w:before="160" w:after="40"/>
      </w:pPr>
      <w:r>
        <w:rPr>
          <w:rFonts w:ascii="Calibri" w:hAnsi="Calibri"/>
          <w:b/>
          <w:color w:val="1F2937"/>
          <w:sz w:val="21"/>
        </w:rPr>
        <w:t>Los 5 Principales Inductores de Abandono según SHAP:</w:t>
      </w:r>
    </w:p>
    <w:p>
      <w:pPr>
        <w:pStyle w:val="ListBullet"/>
        <w:spacing w:before="0" w:after="50" w:line="276" w:lineRule="auto"/>
        <w:ind w:left="360"/>
      </w:pPr>
      <w:r>
        <w:rPr>
          <w:rFonts w:ascii="Calibri" w:hAnsi="Calibri"/>
          <w:b/>
          <w:color w:val="1F2937"/>
          <w:sz w:val="20"/>
        </w:rPr>
        <w:t xml:space="preserve">1. Contract_Two year y Contract_One year: </w:t>
      </w:r>
      <w:r>
        <w:rPr>
          <w:rFonts w:ascii="Calibri" w:hAnsi="Calibri"/>
          <w:color w:val="1F2937"/>
          <w:sz w:val="20"/>
        </w:rPr>
        <w:t>Factor defensivo primario. La presencia de compromiso anual o bianual anula prácticamente la probabilidad de abandono.</w:t>
      </w:r>
    </w:p>
    <w:p>
      <w:pPr>
        <w:pStyle w:val="ListBullet"/>
        <w:spacing w:before="0" w:after="50" w:line="276" w:lineRule="auto"/>
        <w:ind w:left="360"/>
      </w:pPr>
      <w:r>
        <w:rPr>
          <w:rFonts w:ascii="Calibri" w:hAnsi="Calibri"/>
          <w:b/>
          <w:color w:val="1F2937"/>
          <w:sz w:val="20"/>
        </w:rPr>
        <w:t xml:space="preserve">2. tenure (Antigüedad): </w:t>
      </w:r>
      <w:r>
        <w:rPr>
          <w:rFonts w:ascii="Calibri" w:hAnsi="Calibri"/>
          <w:color w:val="1F2937"/>
          <w:sz w:val="20"/>
        </w:rPr>
        <w:t>Cada mes adicional de permanencia genera un efecto amortiguador continuo sobre el riesgo.</w:t>
      </w:r>
    </w:p>
    <w:p>
      <w:pPr>
        <w:pStyle w:val="ListBullet"/>
        <w:spacing w:before="0" w:after="50" w:line="276" w:lineRule="auto"/>
        <w:ind w:left="360"/>
      </w:pPr>
      <w:r>
        <w:rPr>
          <w:rFonts w:ascii="Calibri" w:hAnsi="Calibri"/>
          <w:b/>
          <w:color w:val="1F2937"/>
          <w:sz w:val="20"/>
        </w:rPr>
        <w:t xml:space="preserve">3. TechSupport_Yes y OnlineSecurity_Yes: </w:t>
      </w:r>
      <w:r>
        <w:rPr>
          <w:rFonts w:ascii="Calibri" w:hAnsi="Calibri"/>
          <w:color w:val="1F2937"/>
          <w:sz w:val="20"/>
        </w:rPr>
        <w:t>La contratación de asistencia técnica especializada reduce drásticamente el riesgo de deserción.</w:t>
      </w:r>
    </w:p>
    <w:p>
      <w:pPr>
        <w:pStyle w:val="ListBullet"/>
        <w:spacing w:before="0" w:after="50" w:line="276" w:lineRule="auto"/>
        <w:ind w:left="360"/>
      </w:pPr>
      <w:r>
        <w:rPr>
          <w:rFonts w:ascii="Calibri" w:hAnsi="Calibri"/>
          <w:b/>
          <w:color w:val="1F2937"/>
          <w:sz w:val="20"/>
        </w:rPr>
        <w:t xml:space="preserve">4. PaymentMethod_Electronic check: </w:t>
      </w:r>
      <w:r>
        <w:rPr>
          <w:rFonts w:ascii="Calibri" w:hAnsi="Calibri"/>
          <w:color w:val="1F2937"/>
          <w:sz w:val="20"/>
        </w:rPr>
        <w:t>Los clientes con cheque electrónico empujan constantemente el valor SHAP en dirección positiva hacia el churn.</w:t>
      </w:r>
    </w:p>
    <w:p>
      <w:pPr>
        <w:pStyle w:val="ListBullet"/>
        <w:spacing w:before="0" w:after="50" w:line="276" w:lineRule="auto"/>
        <w:ind w:left="360"/>
      </w:pPr>
      <w:r>
        <w:rPr>
          <w:rFonts w:ascii="Calibri" w:hAnsi="Calibri"/>
          <w:b/>
          <w:color w:val="1F2937"/>
          <w:sz w:val="20"/>
        </w:rPr>
        <w:t xml:space="preserve">5. MonthlyCharges / Fibra Óptica: </w:t>
      </w:r>
      <w:r>
        <w:rPr>
          <w:rFonts w:ascii="Calibri" w:hAnsi="Calibri"/>
          <w:color w:val="1F2937"/>
          <w:sz w:val="20"/>
        </w:rPr>
        <w:t>Cargos mensuales altos sin servicios de soporte complementarios generan insatisfacción por relación costo-beneficio.</w:t>
      </w:r>
    </w:p>
    <w:p>
      <w:pPr>
        <w:keepNext/>
        <w:spacing w:before="220" w:after="60"/>
      </w:pPr>
      <w:r>
        <w:rPr>
          <w:rFonts w:ascii="Calibri" w:hAnsi="Calibri"/>
          <w:b/>
          <w:color w:val="2B5B84"/>
          <w:sz w:val="24"/>
        </w:rPr>
        <w:t>11.3 Gráficos de Dependencia (SHAP Dependence Plots)</w:t>
      </w:r>
    </w:p>
    <w:p>
      <w:pPr>
        <w:keepNext/>
        <w:spacing w:before="120" w:after="40"/>
        <w:jc w:val="center"/>
      </w:pPr>
      <w:r>
        <w:drawing>
          <wp:inline xmlns:a="http://schemas.openxmlformats.org/drawingml/2006/main" xmlns:pic="http://schemas.openxmlformats.org/drawingml/2006/picture">
            <wp:extent cx="5303520" cy="1473200"/>
            <wp:docPr id="16" name="Picture 16"/>
            <wp:cNvGraphicFramePr>
              <a:graphicFrameLocks noChangeAspect="1"/>
            </wp:cNvGraphicFramePr>
            <a:graphic>
              <a:graphicData uri="http://schemas.openxmlformats.org/drawingml/2006/picture">
                <pic:pic>
                  <pic:nvPicPr>
                    <pic:cNvPr id="0" name="fig16_shap_dependence_plots.png"/>
                    <pic:cNvPicPr/>
                  </pic:nvPicPr>
                  <pic:blipFill>
                    <a:blip r:embed="rId26"/>
                    <a:stretch>
                      <a:fillRect/>
                    </a:stretch>
                  </pic:blipFill>
                  <pic:spPr>
                    <a:xfrm>
                      <a:off x="0" y="0"/>
                      <a:ext cx="5303520" cy="1473200"/>
                    </a:xfrm>
                    <a:prstGeom prst="rect"/>
                  </pic:spPr>
                </pic:pic>
              </a:graphicData>
            </a:graphic>
          </wp:inline>
        </w:drawing>
      </w:r>
    </w:p>
    <w:p>
      <w:pPr>
        <w:spacing w:before="40" w:after="160"/>
        <w:jc w:val="center"/>
      </w:pPr>
      <w:r>
        <w:rPr>
          <w:rFonts w:ascii="Calibri" w:hAnsi="Calibri"/>
          <w:i/>
          <w:color w:val="4B5563"/>
          <w:sz w:val="18"/>
        </w:rPr>
        <w:t>Figura 16: Gráficos de Dependencia SHAP para Contrato, Antigüedad y Cargos Mensuales</w:t>
      </w:r>
    </w:p>
    <w:p>
      <w:pPr>
        <w:spacing w:before="0" w:after="80" w:line="276" w:lineRule="auto"/>
      </w:pPr>
      <w:r>
        <w:rPr>
          <w:rFonts w:ascii="Calibri" w:hAnsi="Calibri"/>
          <w:color w:val="1F2937"/>
          <w:sz w:val="20"/>
        </w:rPr>
        <w:t>Observación: Se comprueba de forma continua la no linealidad en tenure: el riesgo desciende abruptamente entre el mes 1 y el mes 15, alcanzando una meseta de fidelidad a partir del segundo año.</w:t>
      </w:r>
    </w:p>
    <w:p>
      <w:pPr>
        <w:keepNext/>
        <w:spacing w:before="220" w:after="60"/>
      </w:pPr>
      <w:r>
        <w:rPr>
          <w:rFonts w:ascii="Calibri" w:hAnsi="Calibri"/>
          <w:b/>
          <w:color w:val="2B5B84"/>
          <w:sz w:val="24"/>
        </w:rPr>
        <w:t>11.4 Explicabilidad Local: Análisis de Casos Individuales (Waterfall Plots)</w:t>
      </w:r>
    </w:p>
    <w:p>
      <w:pPr>
        <w:keepNext/>
        <w:spacing w:before="160" w:after="40"/>
      </w:pPr>
      <w:r>
        <w:rPr>
          <w:rFonts w:ascii="Calibri" w:hAnsi="Calibri"/>
          <w:b/>
          <w:color w:val="1F2937"/>
          <w:sz w:val="21"/>
        </w:rPr>
        <w:t>Caso A: Cliente de Alto Riesgo de Abandono (P(Churn) = 84,6%)</w:t>
      </w:r>
    </w:p>
    <w:p>
      <w:pPr>
        <w:keepNext/>
        <w:spacing w:before="120" w:after="40"/>
        <w:jc w:val="center"/>
      </w:pPr>
      <w:r>
        <w:drawing>
          <wp:inline xmlns:a="http://schemas.openxmlformats.org/drawingml/2006/main" xmlns:pic="http://schemas.openxmlformats.org/drawingml/2006/picture">
            <wp:extent cx="5303520" cy="4309110"/>
            <wp:docPr id="17" name="Picture 17"/>
            <wp:cNvGraphicFramePr>
              <a:graphicFrameLocks noChangeAspect="1"/>
            </wp:cNvGraphicFramePr>
            <a:graphic>
              <a:graphicData uri="http://schemas.openxmlformats.org/drawingml/2006/picture">
                <pic:pic>
                  <pic:nvPicPr>
                    <pic:cNvPr id="0" name="fig17_shap_waterfall_high_risk.png"/>
                    <pic:cNvPicPr/>
                  </pic:nvPicPr>
                  <pic:blipFill>
                    <a:blip r:embed="rId27"/>
                    <a:stretch>
                      <a:fillRect/>
                    </a:stretch>
                  </pic:blipFill>
                  <pic:spPr>
                    <a:xfrm>
                      <a:off x="0" y="0"/>
                      <a:ext cx="5303520" cy="4309110"/>
                    </a:xfrm>
                    <a:prstGeom prst="rect"/>
                  </pic:spPr>
                </pic:pic>
              </a:graphicData>
            </a:graphic>
          </wp:inline>
        </w:drawing>
      </w:r>
    </w:p>
    <w:p>
      <w:pPr>
        <w:spacing w:before="40" w:after="160"/>
        <w:jc w:val="center"/>
      </w:pPr>
      <w:r>
        <w:rPr>
          <w:rFonts w:ascii="Calibri" w:hAnsi="Calibri"/>
          <w:i/>
          <w:color w:val="4B5563"/>
          <w:sz w:val="18"/>
        </w:rPr>
        <w:t>Figura 17: Waterfall Plot para Cliente de Alto Riesgo de Abandono (P(Churn) = 84.6%)</w:t>
      </w:r>
    </w:p>
    <w:p>
      <w:pPr>
        <w:pStyle w:val="ListBullet"/>
        <w:spacing w:before="0" w:after="50" w:line="276" w:lineRule="auto"/>
        <w:ind w:left="360"/>
      </w:pPr>
      <w:r>
        <w:rPr>
          <w:rFonts w:ascii="Calibri" w:hAnsi="Calibri"/>
          <w:b/>
          <w:color w:val="1F2937"/>
          <w:sz w:val="20"/>
        </w:rPr>
        <w:t xml:space="preserve">Diagnóstico del Cliente: </w:t>
      </w:r>
      <w:r>
        <w:rPr>
          <w:rFonts w:ascii="Calibri" w:hAnsi="Calibri"/>
          <w:color w:val="1F2937"/>
          <w:sz w:val="20"/>
        </w:rPr>
        <w:t>Contrato mes a mes, antigüedad de sólo 2 meses, cargos mensuales de $85/mes en fibra óptica, método de pago por cheque electrónico y carencia de soporte técnico.</w:t>
      </w:r>
    </w:p>
    <w:p>
      <w:pPr>
        <w:pStyle w:val="ListBullet"/>
        <w:spacing w:before="0" w:after="50" w:line="276" w:lineRule="auto"/>
        <w:ind w:left="360"/>
      </w:pPr>
      <w:r>
        <w:rPr>
          <w:rFonts w:ascii="Calibri" w:hAnsi="Calibri"/>
          <w:b/>
          <w:color w:val="1F2937"/>
          <w:sz w:val="20"/>
        </w:rPr>
        <w:t xml:space="preserve">Acción comercial recomendada: </w:t>
      </w:r>
      <w:r>
        <w:rPr>
          <w:rFonts w:ascii="Calibri" w:hAnsi="Calibri"/>
          <w:color w:val="1F2937"/>
          <w:sz w:val="20"/>
        </w:rPr>
        <w:t>Intervención inmediata con oferta de migración a contrato anual con bonificación de soporte técnico por 3 meses.</w:t>
      </w:r>
    </w:p>
    <w:p>
      <w:pPr>
        <w:keepNext/>
        <w:spacing w:before="160" w:after="40"/>
      </w:pPr>
      <w:r>
        <w:rPr>
          <w:rFonts w:ascii="Calibri" w:hAnsi="Calibri"/>
          <w:b/>
          <w:color w:val="1F2937"/>
          <w:sz w:val="21"/>
        </w:rPr>
        <w:t>Caso B: Cliente Fidelizado de Muy Bajo Riesgo (P(Churn) = 1,2%)</w:t>
      </w:r>
    </w:p>
    <w:p>
      <w:pPr>
        <w:keepNext/>
        <w:spacing w:before="120" w:after="40"/>
        <w:jc w:val="center"/>
      </w:pPr>
      <w:r>
        <w:drawing>
          <wp:inline xmlns:a="http://schemas.openxmlformats.org/drawingml/2006/main" xmlns:pic="http://schemas.openxmlformats.org/drawingml/2006/picture">
            <wp:extent cx="5303520" cy="4309110"/>
            <wp:docPr id="18" name="Picture 18"/>
            <wp:cNvGraphicFramePr>
              <a:graphicFrameLocks noChangeAspect="1"/>
            </wp:cNvGraphicFramePr>
            <a:graphic>
              <a:graphicData uri="http://schemas.openxmlformats.org/drawingml/2006/picture">
                <pic:pic>
                  <pic:nvPicPr>
                    <pic:cNvPr id="0" name="fig18_shap_waterfall_loyal.png"/>
                    <pic:cNvPicPr/>
                  </pic:nvPicPr>
                  <pic:blipFill>
                    <a:blip r:embed="rId28"/>
                    <a:stretch>
                      <a:fillRect/>
                    </a:stretch>
                  </pic:blipFill>
                  <pic:spPr>
                    <a:xfrm>
                      <a:off x="0" y="0"/>
                      <a:ext cx="5303520" cy="4309110"/>
                    </a:xfrm>
                    <a:prstGeom prst="rect"/>
                  </pic:spPr>
                </pic:pic>
              </a:graphicData>
            </a:graphic>
          </wp:inline>
        </w:drawing>
      </w:r>
    </w:p>
    <w:p>
      <w:pPr>
        <w:spacing w:before="40" w:after="160"/>
        <w:jc w:val="center"/>
      </w:pPr>
      <w:r>
        <w:rPr>
          <w:rFonts w:ascii="Calibri" w:hAnsi="Calibri"/>
          <w:i/>
          <w:color w:val="4B5563"/>
          <w:sz w:val="18"/>
        </w:rPr>
        <w:t>Figura 18: Waterfall Plot para Cliente Fidelizado de Muy Bajo Riesgo (P(Churn) = 1.2%)</w:t>
      </w:r>
    </w:p>
    <w:p>
      <w:pPr>
        <w:pStyle w:val="ListBullet"/>
        <w:spacing w:before="0" w:after="50" w:line="276" w:lineRule="auto"/>
        <w:ind w:left="360"/>
      </w:pPr>
      <w:r>
        <w:rPr>
          <w:rFonts w:ascii="Calibri" w:hAnsi="Calibri"/>
          <w:b/>
          <w:color w:val="1F2937"/>
          <w:sz w:val="20"/>
        </w:rPr>
        <w:t xml:space="preserve">Diagnóstico del Cliente: </w:t>
      </w:r>
      <w:r>
        <w:rPr>
          <w:rFonts w:ascii="Calibri" w:hAnsi="Calibri"/>
          <w:color w:val="1F2937"/>
          <w:sz w:val="20"/>
        </w:rPr>
        <w:t>Contrato a 2 años, antigüedad superior a 50 meses, servicios de soporte y seguridad activos y débito automático. El modelo detecta que el riesgo de fuga es prácticamente nulo.</w:t>
      </w:r>
    </w:p>
    <w:p>
      <w:pPr>
        <w:keepNext/>
        <w:spacing w:before="320" w:after="80"/>
      </w:pPr>
      <w:r>
        <w:rPr>
          <w:rFonts w:ascii="Calibri" w:hAnsi="Calibri"/>
          <w:b/>
          <w:color w:val="1B365D"/>
          <w:sz w:val="29"/>
        </w:rPr>
        <w:t>12. Conclusiones Ejecutivas y Plan de Acción de Retención (4 Pilares)</w:t>
      </w:r>
    </w:p>
    <w:p>
      <w:pPr>
        <w:spacing w:before="0" w:after="80" w:line="276" w:lineRule="auto"/>
      </w:pPr>
      <w:r>
        <w:rPr>
          <w:rFonts w:ascii="Calibri" w:hAnsi="Calibri"/>
          <w:color w:val="1F2937"/>
          <w:sz w:val="20"/>
        </w:rPr>
        <w:t>Se consolidó una solución predictiva reproducible de punta a punta con un ROC-AUC de 0.847, capaz de interceptar al 89,3% de las fugas reales en el conjunto de test independiente.</w:t>
      </w:r>
    </w:p>
    <w:p>
      <w:pPr>
        <w:spacing w:before="0" w:after="80" w:line="276" w:lineRule="auto"/>
      </w:pPr>
      <w:r>
        <w:rPr>
          <w:rFonts w:ascii="Calibri" w:hAnsi="Calibri"/>
          <w:color w:val="1F2937"/>
          <w:sz w:val="20"/>
        </w:rPr>
        <w:t>A partir de los descubrimientos de SHAP y el análisis del ciclo de vida del cliente, se definen 4 Pilares Estratégicos de Retención Comercial:</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120"/>
        <w:gridCol w:w="3120"/>
        <w:gridCol w:w="3120"/>
      </w:tblGrid>
      <w:tr>
        <w:trPr>
          <w:tblHeader/>
          <w:cantSplit/>
        </w:trP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8"/>
              </w:rPr>
              <w:t>Pilar Estratégico</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8"/>
              </w:rPr>
              <w:t>Población Objetivo</w:t>
            </w:r>
          </w:p>
        </w:tc>
        <w:tc>
          <w:tcPr>
            <w:tcW w:type="dxa" w:w="4176"/>
            <w:shd w:fill="1B365D"/>
            <w:tcMar>
              <w:top w:w="100" w:type="dxa"/>
              <w:bottom w:w="100" w:type="dxa"/>
              <w:left w:w="120" w:type="dxa"/>
              <w:right w:w="120" w:type="dxa"/>
            </w:tcMar>
          </w:tcPr>
          <w:p>
            <w:pPr>
              <w:spacing w:before="0" w:after="0"/>
              <w:jc w:val="left"/>
            </w:pPr>
            <w:r>
              <w:rPr>
                <w:rFonts w:ascii="Calibri" w:hAnsi="Calibri"/>
                <w:b/>
                <w:color w:val="FFFFFF"/>
                <w:sz w:val="18"/>
              </w:rPr>
              <w:t>Iniciativa Operativa / Comercial</w:t>
            </w:r>
          </w:p>
        </w:tc>
      </w:tr>
      <w:tr>
        <w:trPr>
          <w:cantSplit/>
        </w:trPr>
        <w:tc>
          <w:tcPr>
            <w:tcW w:type="dxa" w:w="2592"/>
            <w:shd w:fill="FFFFFF"/>
            <w:tcMar>
              <w:top w:w="80" w:type="dxa"/>
              <w:bottom w:w="80" w:type="dxa"/>
              <w:left w:w="120" w:type="dxa"/>
              <w:right w:w="120" w:type="dxa"/>
            </w:tcMar>
          </w:tcPr>
          <w:p>
            <w:pPr>
              <w:spacing w:before="0" w:after="0"/>
              <w:jc w:val="left"/>
            </w:pPr>
            <w:r>
              <w:rPr>
                <w:rFonts w:ascii="Calibri" w:hAnsi="Calibri"/>
                <w:color w:val="1F2937"/>
                <w:sz w:val="17"/>
              </w:rPr>
              <w:t>1. Onboarding Preventivo</w:t>
            </w:r>
          </w:p>
        </w:tc>
        <w:tc>
          <w:tcPr>
            <w:tcW w:type="dxa" w:w="2592"/>
            <w:shd w:fill="FFFFFF"/>
            <w:tcMar>
              <w:top w:w="80" w:type="dxa"/>
              <w:bottom w:w="80" w:type="dxa"/>
              <w:left w:w="120" w:type="dxa"/>
              <w:right w:w="120" w:type="dxa"/>
            </w:tcMar>
          </w:tcPr>
          <w:p>
            <w:pPr>
              <w:spacing w:before="0" w:after="0"/>
              <w:jc w:val="left"/>
            </w:pPr>
            <w:r>
              <w:rPr>
                <w:rFonts w:ascii="Calibri" w:hAnsi="Calibri"/>
                <w:color w:val="1F2937"/>
                <w:sz w:val="17"/>
              </w:rPr>
              <w:t>Nuevos clientes (Meses 1 a 12)</w:t>
            </w:r>
          </w:p>
        </w:tc>
        <w:tc>
          <w:tcPr>
            <w:tcW w:type="dxa" w:w="4176"/>
            <w:shd w:fill="FFFFFF"/>
            <w:tcMar>
              <w:top w:w="80" w:type="dxa"/>
              <w:bottom w:w="80" w:type="dxa"/>
              <w:left w:w="120" w:type="dxa"/>
              <w:right w:w="120" w:type="dxa"/>
            </w:tcMar>
          </w:tcPr>
          <w:p>
            <w:pPr>
              <w:spacing w:before="0" w:after="0"/>
              <w:jc w:val="left"/>
            </w:pPr>
            <w:r>
              <w:rPr>
                <w:rFonts w:ascii="Calibri" w:hAnsi="Calibri"/>
                <w:color w:val="1F2937"/>
                <w:sz w:val="17"/>
              </w:rPr>
              <w:t>Contacto proactivo de Customer Success a días 30, 90 y 180 con auditoría de satisfacción técnica.</w:t>
            </w:r>
          </w:p>
        </w:tc>
      </w:tr>
      <w:tr>
        <w:trPr>
          <w:cantSplit/>
        </w:trPr>
        <w:tc>
          <w:tcPr>
            <w:tcW w:type="dxa" w:w="2592"/>
            <w:shd w:fill="F8FAFC"/>
            <w:tcMar>
              <w:top w:w="80" w:type="dxa"/>
              <w:bottom w:w="80" w:type="dxa"/>
              <w:left w:w="120" w:type="dxa"/>
              <w:right w:w="120" w:type="dxa"/>
            </w:tcMar>
          </w:tcPr>
          <w:p>
            <w:pPr>
              <w:spacing w:before="0" w:after="0"/>
              <w:jc w:val="left"/>
            </w:pPr>
            <w:r>
              <w:rPr>
                <w:rFonts w:ascii="Calibri" w:hAnsi="Calibri"/>
                <w:color w:val="1F2937"/>
                <w:sz w:val="17"/>
              </w:rPr>
              <w:t>2. Migración Contractual</w:t>
            </w:r>
          </w:p>
        </w:tc>
        <w:tc>
          <w:tcPr>
            <w:tcW w:type="dxa" w:w="2592"/>
            <w:shd w:fill="F8FAFC"/>
            <w:tcMar>
              <w:top w:w="80" w:type="dxa"/>
              <w:bottom w:w="80" w:type="dxa"/>
              <w:left w:w="120" w:type="dxa"/>
              <w:right w:w="120" w:type="dxa"/>
            </w:tcMar>
          </w:tcPr>
          <w:p>
            <w:pPr>
              <w:spacing w:before="0" w:after="0"/>
              <w:jc w:val="left"/>
            </w:pPr>
            <w:r>
              <w:rPr>
                <w:rFonts w:ascii="Calibri" w:hAnsi="Calibri"/>
                <w:color w:val="1F2937"/>
                <w:sz w:val="17"/>
              </w:rPr>
              <w:t>Clientes en contrato mes a mes (&gt; 6 meses)</w:t>
            </w:r>
          </w:p>
        </w:tc>
        <w:tc>
          <w:tcPr>
            <w:tcW w:type="dxa" w:w="4176"/>
            <w:shd w:fill="F8FAFC"/>
            <w:tcMar>
              <w:top w:w="80" w:type="dxa"/>
              <w:bottom w:w="80" w:type="dxa"/>
              <w:left w:w="120" w:type="dxa"/>
              <w:right w:w="120" w:type="dxa"/>
            </w:tcMar>
          </w:tcPr>
          <w:p>
            <w:pPr>
              <w:spacing w:before="0" w:after="0"/>
              <w:jc w:val="left"/>
            </w:pPr>
            <w:r>
              <w:rPr>
                <w:rFonts w:ascii="Calibri" w:hAnsi="Calibri"/>
                <w:color w:val="1F2937"/>
                <w:sz w:val="17"/>
              </w:rPr>
              <w:t>Campaña con 10% de bonificación mensual durante 3 meses al migrar a contrato de 1 año.</w:t>
            </w:r>
          </w:p>
        </w:tc>
      </w:tr>
      <w:tr>
        <w:trPr>
          <w:cantSplit/>
        </w:trPr>
        <w:tc>
          <w:tcPr>
            <w:tcW w:type="dxa" w:w="2592"/>
            <w:shd w:fill="FFFFFF"/>
            <w:tcMar>
              <w:top w:w="80" w:type="dxa"/>
              <w:bottom w:w="80" w:type="dxa"/>
              <w:left w:w="120" w:type="dxa"/>
              <w:right w:w="120" w:type="dxa"/>
            </w:tcMar>
          </w:tcPr>
          <w:p>
            <w:pPr>
              <w:spacing w:before="0" w:after="0"/>
              <w:jc w:val="left"/>
            </w:pPr>
            <w:r>
              <w:rPr>
                <w:rFonts w:ascii="Calibri" w:hAnsi="Calibri"/>
                <w:color w:val="1F2937"/>
                <w:sz w:val="17"/>
              </w:rPr>
              <w:t>3. Paquetización (Bundling)</w:t>
            </w:r>
          </w:p>
        </w:tc>
        <w:tc>
          <w:tcPr>
            <w:tcW w:type="dxa" w:w="2592"/>
            <w:shd w:fill="FFFFFF"/>
            <w:tcMar>
              <w:top w:w="80" w:type="dxa"/>
              <w:bottom w:w="80" w:type="dxa"/>
              <w:left w:w="120" w:type="dxa"/>
              <w:right w:w="120" w:type="dxa"/>
            </w:tcMar>
          </w:tcPr>
          <w:p>
            <w:pPr>
              <w:spacing w:before="0" w:after="0"/>
              <w:jc w:val="left"/>
            </w:pPr>
            <w:r>
              <w:rPr>
                <w:rFonts w:ascii="Calibri" w:hAnsi="Calibri"/>
                <w:color w:val="1F2937"/>
                <w:sz w:val="17"/>
              </w:rPr>
              <w:t>Usuarios de Fibra Óptica sin servicios de valor</w:t>
            </w:r>
          </w:p>
        </w:tc>
        <w:tc>
          <w:tcPr>
            <w:tcW w:type="dxa" w:w="4176"/>
            <w:shd w:fill="FFFFFF"/>
            <w:tcMar>
              <w:top w:w="80" w:type="dxa"/>
              <w:bottom w:w="80" w:type="dxa"/>
              <w:left w:w="120" w:type="dxa"/>
              <w:right w:w="120" w:type="dxa"/>
            </w:tcMar>
          </w:tcPr>
          <w:p>
            <w:pPr>
              <w:spacing w:before="0" w:after="0"/>
              <w:jc w:val="left"/>
            </w:pPr>
            <w:r>
              <w:rPr>
                <w:rFonts w:ascii="Calibri" w:hAnsi="Calibri"/>
                <w:color w:val="1F2937"/>
                <w:sz w:val="17"/>
              </w:rPr>
              <w:t>Bonificación de TechSupport y OnlineSecurity durante el primer trimestre para construir hábito y barrera de cambio.</w:t>
            </w:r>
          </w:p>
        </w:tc>
      </w:tr>
      <w:tr>
        <w:trPr>
          <w:cantSplit/>
        </w:trPr>
        <w:tc>
          <w:tcPr>
            <w:tcW w:type="dxa" w:w="2592"/>
            <w:shd w:fill="F8FAFC"/>
            <w:tcMar>
              <w:top w:w="80" w:type="dxa"/>
              <w:bottom w:w="80" w:type="dxa"/>
              <w:left w:w="120" w:type="dxa"/>
              <w:right w:w="120" w:type="dxa"/>
            </w:tcMar>
          </w:tcPr>
          <w:p>
            <w:pPr>
              <w:spacing w:before="0" w:after="0"/>
              <w:jc w:val="left"/>
            </w:pPr>
            <w:r>
              <w:rPr>
                <w:rFonts w:ascii="Calibri" w:hAnsi="Calibri"/>
                <w:color w:val="1F2937"/>
                <w:sz w:val="17"/>
              </w:rPr>
              <w:t>4. Migración a Débito Automático</w:t>
            </w:r>
          </w:p>
        </w:tc>
        <w:tc>
          <w:tcPr>
            <w:tcW w:type="dxa" w:w="2592"/>
            <w:shd w:fill="F8FAFC"/>
            <w:tcMar>
              <w:top w:w="80" w:type="dxa"/>
              <w:bottom w:w="80" w:type="dxa"/>
              <w:left w:w="120" w:type="dxa"/>
              <w:right w:w="120" w:type="dxa"/>
            </w:tcMar>
          </w:tcPr>
          <w:p>
            <w:pPr>
              <w:spacing w:before="0" w:after="0"/>
              <w:jc w:val="left"/>
            </w:pPr>
            <w:r>
              <w:rPr>
                <w:rFonts w:ascii="Calibri" w:hAnsi="Calibri"/>
                <w:color w:val="1F2937"/>
                <w:sz w:val="17"/>
              </w:rPr>
              <w:t>Clientes con pago en cheque electrónico</w:t>
            </w:r>
          </w:p>
        </w:tc>
        <w:tc>
          <w:tcPr>
            <w:tcW w:type="dxa" w:w="4176"/>
            <w:shd w:fill="F8FAFC"/>
            <w:tcMar>
              <w:top w:w="80" w:type="dxa"/>
              <w:bottom w:w="80" w:type="dxa"/>
              <w:left w:w="120" w:type="dxa"/>
              <w:right w:w="120" w:type="dxa"/>
            </w:tcMar>
          </w:tcPr>
          <w:p>
            <w:pPr>
              <w:spacing w:before="0" w:after="0"/>
              <w:jc w:val="left"/>
            </w:pPr>
            <w:r>
              <w:rPr>
                <w:rFonts w:ascii="Calibri" w:hAnsi="Calibri"/>
                <w:color w:val="1F2937"/>
                <w:sz w:val="17"/>
              </w:rPr>
              <w:t>Descuento puntual en factura o gigas extras de bienvenida al registrar adhesión a débito bancario o tarjeta.</w:t>
            </w:r>
          </w:p>
        </w:tc>
      </w:tr>
    </w:tbl>
    <w:p>
      <w:pPr>
        <w:spacing w:before="0" w:after="120"/>
      </w:pPr>
    </w:p>
    <w:p>
      <w:pPr>
        <w:pStyle w:val="ListBullet"/>
        <w:spacing w:before="0" w:after="50" w:line="276" w:lineRule="auto"/>
        <w:ind w:left="360"/>
      </w:pPr>
      <w:r>
        <w:rPr>
          <w:rFonts w:ascii="Calibri" w:hAnsi="Calibri"/>
          <w:b/>
          <w:color w:val="1F2937"/>
          <w:sz w:val="20"/>
        </w:rPr>
        <w:t xml:space="preserve">Pilar 1: Protocolo de Onboarding Intensivo (Meses 1 a 12): </w:t>
      </w:r>
      <w:r>
        <w:rPr>
          <w:rFonts w:ascii="Calibri" w:hAnsi="Calibri"/>
          <w:color w:val="1F2937"/>
          <w:sz w:val="20"/>
        </w:rPr>
        <w:t>Dado que el 50% de las cancelaciones ocurren antes de los 10 meses, el área de Customer Success debe establecer puntos de contacto de satisfacción proactivos en los días 30, 90 y 180, previniendo la frustración temprana por fallas técnicas.</w:t>
      </w:r>
    </w:p>
    <w:p>
      <w:pPr>
        <w:pStyle w:val="ListBullet"/>
        <w:spacing w:before="0" w:after="50" w:line="276" w:lineRule="auto"/>
        <w:ind w:left="360"/>
      </w:pPr>
      <w:r>
        <w:rPr>
          <w:rFonts w:ascii="Calibri" w:hAnsi="Calibri"/>
          <w:b/>
          <w:color w:val="1F2937"/>
          <w:sz w:val="20"/>
        </w:rPr>
        <w:t xml:space="preserve">Pilar 2: Campaña de Migración Contractual: </w:t>
      </w:r>
      <w:r>
        <w:rPr>
          <w:rFonts w:ascii="Calibri" w:hAnsi="Calibri"/>
          <w:color w:val="1F2937"/>
          <w:sz w:val="20"/>
        </w:rPr>
        <w:t>Diseñar una oferta comercial dirigida exclusivamente a clientes en contrato mes a mes que hayan superado el sexto mes, ofreciendo una bonificación tarifaria del 10% durante 3 meses si aceptan un compromiso contractual de 1 año.</w:t>
      </w:r>
    </w:p>
    <w:p>
      <w:pPr>
        <w:pStyle w:val="ListBullet"/>
        <w:spacing w:before="0" w:after="50" w:line="276" w:lineRule="auto"/>
        <w:ind w:left="360"/>
      </w:pPr>
      <w:r>
        <w:rPr>
          <w:rFonts w:ascii="Calibri" w:hAnsi="Calibri"/>
          <w:b/>
          <w:color w:val="1F2937"/>
          <w:sz w:val="20"/>
        </w:rPr>
        <w:t xml:space="preserve">Pilar 3: Paquetización Defensiva de Servicios (Bundling): </w:t>
      </w:r>
      <w:r>
        <w:rPr>
          <w:rFonts w:ascii="Calibri" w:hAnsi="Calibri"/>
          <w:color w:val="1F2937"/>
          <w:sz w:val="20"/>
        </w:rPr>
        <w:t>Incorporar de forma predeterminada los módulos de OnlineSecurity y TechSupport bonificados durante el primer trimestre en planes de fibra óptica, creando dependencia positiva que neutraliza el impacto de los cargos mensuales elevados.</w:t>
      </w:r>
    </w:p>
    <w:p>
      <w:pPr>
        <w:pStyle w:val="ListBullet"/>
        <w:spacing w:before="0" w:after="50" w:line="276" w:lineRule="auto"/>
        <w:ind w:left="360"/>
      </w:pPr>
      <w:r>
        <w:rPr>
          <w:rFonts w:ascii="Calibri" w:hAnsi="Calibri"/>
          <w:b/>
          <w:color w:val="1F2937"/>
          <w:sz w:val="20"/>
        </w:rPr>
        <w:t xml:space="preserve">Pilar 4: Migración de Métodos de Pago a Canales Digitales: </w:t>
      </w:r>
      <w:r>
        <w:rPr>
          <w:rFonts w:ascii="Calibri" w:hAnsi="Calibri"/>
          <w:color w:val="1F2937"/>
          <w:sz w:val="20"/>
        </w:rPr>
        <w:t>Eliminar el roce del pago manual desalentando el cheque electrónico mediante una bonificación en la factura para aquellos clientes que registren adhesión a tarjeta de crédito o débito bancario automático.</w:t>
      </w:r>
    </w:p>
    <w:p>
      <w:pPr>
        <w:keepNext/>
        <w:spacing w:before="320" w:after="80"/>
      </w:pPr>
      <w:r>
        <w:rPr>
          <w:rFonts w:ascii="Calibri" w:hAnsi="Calibri"/>
          <w:b/>
          <w:color w:val="1B365D"/>
          <w:sz w:val="29"/>
        </w:rPr>
        <w:t>13. Limitaciones Técnicas y Roadmap Futuro</w:t>
      </w:r>
    </w:p>
    <w:p>
      <w:pPr>
        <w:pStyle w:val="ListBullet"/>
        <w:spacing w:before="0" w:after="50" w:line="276" w:lineRule="auto"/>
        <w:ind w:left="360"/>
      </w:pPr>
      <w:r>
        <w:rPr>
          <w:rFonts w:ascii="Calibri" w:hAnsi="Calibri"/>
          <w:b/>
          <w:color w:val="1F2937"/>
          <w:sz w:val="20"/>
        </w:rPr>
        <w:t xml:space="preserve">1. Incorporación de Datos Transaccionales Dinámicos: </w:t>
      </w:r>
      <w:r>
        <w:rPr>
          <w:rFonts w:ascii="Calibri" w:hAnsi="Calibri"/>
          <w:color w:val="1F2937"/>
          <w:sz w:val="20"/>
        </w:rPr>
        <w:t>El dataset actual representa una foto estática transversal. En un entorno de producción real, se recomienda incorporar atributos transaccionales temporales (ej. cantidad de llamadas a atención al cliente en los últimos 30 días, caídas de señal registradas por el router, consumo dinámico de gigabytes).</w:t>
      </w:r>
    </w:p>
    <w:p>
      <w:pPr>
        <w:pStyle w:val="ListBullet"/>
        <w:spacing w:before="0" w:after="50" w:line="276" w:lineRule="auto"/>
        <w:ind w:left="360"/>
      </w:pPr>
      <w:r>
        <w:rPr>
          <w:rFonts w:ascii="Calibri" w:hAnsi="Calibri"/>
          <w:b/>
          <w:color w:val="1F2937"/>
          <w:sz w:val="20"/>
        </w:rPr>
        <w:t xml:space="preserve">2. Despliegue Productivo en Modo Shadow: </w:t>
      </w:r>
      <w:r>
        <w:rPr>
          <w:rFonts w:ascii="Calibri" w:hAnsi="Calibri"/>
          <w:color w:val="1F2937"/>
          <w:sz w:val="20"/>
        </w:rPr>
        <w:t>Implementar el modelo en una arquitectura cloud (API con FastAPI o AWS SageMaker) operando en paralelo con los sistemas de facturación durante 60 días para validar el comportamiento en tiempo real antes del pase a producción activo.</w:t>
      </w:r>
    </w:p>
    <w:p>
      <w:pPr>
        <w:pStyle w:val="ListBullet"/>
        <w:spacing w:before="0" w:after="50" w:line="276" w:lineRule="auto"/>
        <w:ind w:left="360"/>
      </w:pPr>
      <w:r>
        <w:rPr>
          <w:rFonts w:ascii="Calibri" w:hAnsi="Calibri"/>
          <w:b/>
          <w:color w:val="1F2937"/>
          <w:sz w:val="20"/>
        </w:rPr>
        <w:t xml:space="preserve">3. Monitoreo Continuo de Drift: </w:t>
      </w:r>
      <w:r>
        <w:rPr>
          <w:rFonts w:ascii="Calibri" w:hAnsi="Calibri"/>
          <w:color w:val="1F2937"/>
          <w:sz w:val="20"/>
        </w:rPr>
        <w:t>Configurar alertas de Data Drift (cambios en el perfil demográfico o planes comerciales) y Concept Drift (variaciones en las causas de cancelación) mediante bibliotecas como Evidently AI o Great Expectations.</w:t>
      </w:r>
    </w:p>
    <w:p>
      <w:pPr>
        <w:pStyle w:val="ListBullet"/>
        <w:spacing w:before="0" w:after="50" w:line="276" w:lineRule="auto"/>
        <w:ind w:left="360"/>
      </w:pPr>
      <w:r>
        <w:rPr>
          <w:rFonts w:ascii="Calibri" w:hAnsi="Calibri"/>
          <w:b/>
          <w:color w:val="1F2937"/>
          <w:sz w:val="20"/>
        </w:rPr>
        <w:t xml:space="preserve">4. Priorización por CLV (Customer Lifetime Value): </w:t>
      </w:r>
      <w:r>
        <w:rPr>
          <w:rFonts w:ascii="Calibri" w:hAnsi="Calibri"/>
          <w:color w:val="1F2937"/>
          <w:sz w:val="20"/>
        </w:rPr>
        <w:t>Ponderar las alertas de Churn multiplicando la probabilidad estimada por el valor remanente estimado del cliente, focalizando el presupuesto de retención en las cuentas de mayor rentabilidad neta.</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8C"/>
        <w:sz w:val="17"/>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28C"/>
        <w:sz w:val="17"/>
      </w:rPr>
      <w:t>Telco Churn Prediction — Informe Final de Machine Learning | Samuel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