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3301" w14:textId="77777777" w:rsidR="00556205" w:rsidRDefault="00000000">
      <w:pPr>
        <w:pStyle w:val="Ttulo"/>
        <w:spacing w:after="120" w:line="276" w:lineRule="auto"/>
        <w:jc w:val="center"/>
        <w:rPr>
          <w:lang w:val="es-CO"/>
        </w:rPr>
      </w:pPr>
      <w:r w:rsidRPr="00834375">
        <w:rPr>
          <w:lang w:val="es-CO"/>
        </w:rPr>
        <w:t>Justificación académica de la elección de gráficos y recursos visuales</w:t>
      </w:r>
    </w:p>
    <w:p w14:paraId="16A1AB8F" w14:textId="4B6C0F35" w:rsidR="00834375" w:rsidRDefault="00834375" w:rsidP="00834375">
      <w:pPr>
        <w:rPr>
          <w:lang w:val="es-CO"/>
        </w:rPr>
      </w:pPr>
      <w:r>
        <w:rPr>
          <w:lang w:val="es-CO"/>
        </w:rPr>
        <w:t>Integrantes</w:t>
      </w:r>
    </w:p>
    <w:p w14:paraId="35CDC5DC" w14:textId="0C4A9775" w:rsidR="00834375" w:rsidRDefault="00834375" w:rsidP="00834375">
      <w:pPr>
        <w:rPr>
          <w:lang w:val="es-CO"/>
        </w:rPr>
      </w:pPr>
      <w:r>
        <w:rPr>
          <w:lang w:val="es-CO"/>
        </w:rPr>
        <w:t xml:space="preserve">-Sergio </w:t>
      </w:r>
      <w:proofErr w:type="spellStart"/>
      <w:r>
        <w:rPr>
          <w:lang w:val="es-CO"/>
        </w:rPr>
        <w:t>Andres</w:t>
      </w:r>
      <w:proofErr w:type="spellEnd"/>
      <w:r>
        <w:rPr>
          <w:lang w:val="es-CO"/>
        </w:rPr>
        <w:t xml:space="preserve"> </w:t>
      </w:r>
      <w:proofErr w:type="spellStart"/>
      <w:r>
        <w:rPr>
          <w:lang w:val="es-CO"/>
        </w:rPr>
        <w:t>Martinez</w:t>
      </w:r>
      <w:proofErr w:type="spellEnd"/>
      <w:r>
        <w:rPr>
          <w:lang w:val="es-CO"/>
        </w:rPr>
        <w:t xml:space="preserve"> Grajales </w:t>
      </w:r>
    </w:p>
    <w:p w14:paraId="52E46DE4" w14:textId="1194B362" w:rsidR="00834375" w:rsidRDefault="00834375" w:rsidP="00834375">
      <w:pPr>
        <w:rPr>
          <w:lang w:val="es-CO"/>
        </w:rPr>
      </w:pPr>
      <w:r>
        <w:rPr>
          <w:lang w:val="es-CO"/>
        </w:rPr>
        <w:t>-Samuel David Caldas Patiño</w:t>
      </w:r>
    </w:p>
    <w:p w14:paraId="2B37096D" w14:textId="0C978E37" w:rsidR="00834375" w:rsidRPr="00834375" w:rsidRDefault="00834375" w:rsidP="00834375">
      <w:pPr>
        <w:rPr>
          <w:lang w:val="es-CO"/>
        </w:rPr>
      </w:pPr>
      <w:r>
        <w:rPr>
          <w:lang w:val="es-CO"/>
        </w:rPr>
        <w:t xml:space="preserve">-Juan Manuel </w:t>
      </w:r>
      <w:proofErr w:type="spellStart"/>
      <w:r>
        <w:rPr>
          <w:lang w:val="es-CO"/>
        </w:rPr>
        <w:t>Florez</w:t>
      </w:r>
      <w:proofErr w:type="spellEnd"/>
      <w:r>
        <w:rPr>
          <w:lang w:val="es-CO"/>
        </w:rPr>
        <w:t xml:space="preserve"> </w:t>
      </w:r>
      <w:proofErr w:type="spellStart"/>
      <w:r>
        <w:rPr>
          <w:lang w:val="es-CO"/>
        </w:rPr>
        <w:t>Martinez</w:t>
      </w:r>
      <w:proofErr w:type="spellEnd"/>
    </w:p>
    <w:p w14:paraId="6C6B6B67" w14:textId="77777777" w:rsidR="00556205" w:rsidRPr="00834375" w:rsidRDefault="00000000">
      <w:pPr>
        <w:spacing w:after="120"/>
        <w:jc w:val="both"/>
        <w:rPr>
          <w:lang w:val="es-CO"/>
        </w:rPr>
      </w:pPr>
      <w:r w:rsidRPr="00834375">
        <w:rPr>
          <w:lang w:val="es-CO"/>
        </w:rPr>
        <w:t xml:space="preserve">La selección de los tipos de gráficos utilizados en el </w:t>
      </w:r>
      <w:proofErr w:type="spellStart"/>
      <w:r w:rsidRPr="00834375">
        <w:rPr>
          <w:lang w:val="es-CO"/>
        </w:rPr>
        <w:t>dashboard</w:t>
      </w:r>
      <w:proofErr w:type="spellEnd"/>
      <w:r w:rsidRPr="00834375">
        <w:rPr>
          <w:lang w:val="es-CO"/>
        </w:rPr>
        <w:t xml:space="preserve"> se fundamenta en principios de percepción visual, análisis exploratorio de datos y jerarquía de información. El criterio principal consiste en asignar a cada tarea analítica la codificación visual que permita al usuario interpretar los datos con la mayor precisión y el menor esfuerzo cognitivo posible.</w:t>
      </w:r>
    </w:p>
    <w:p w14:paraId="7004430B" w14:textId="77777777" w:rsidR="00556205" w:rsidRPr="00834375" w:rsidRDefault="00000000">
      <w:pPr>
        <w:pStyle w:val="Ttulo1"/>
        <w:spacing w:after="120"/>
        <w:rPr>
          <w:lang w:val="es-CO"/>
        </w:rPr>
      </w:pPr>
      <w:r w:rsidRPr="00834375">
        <w:rPr>
          <w:lang w:val="es-CO"/>
        </w:rPr>
        <w:t>1. Elección del tipo de gráfico según la tarea perceptual</w:t>
      </w:r>
    </w:p>
    <w:p w14:paraId="6E8CDF86" w14:textId="77777777" w:rsidR="00556205" w:rsidRPr="00834375" w:rsidRDefault="00000000">
      <w:pPr>
        <w:spacing w:after="120"/>
        <w:jc w:val="both"/>
        <w:rPr>
          <w:lang w:val="es-CO"/>
        </w:rPr>
      </w:pPr>
      <w:r w:rsidRPr="00834375">
        <w:rPr>
          <w:lang w:val="es-CO"/>
        </w:rPr>
        <w:t>La regla utilizada corresponde al principio clásico de Cleveland y McGill, según el cual la precisión con la que el ojo humano puede decodificar una variable depende del tipo de codificación visual empleada. De manera general, la jerarquía de precisión puede expresarse como: posición &gt; longitud &gt; ángulo &gt; área &gt; color. Por esta razón, cada visualización fue seleccionada de acuerdo con la naturaleza específica de la tarea.</w:t>
      </w:r>
    </w:p>
    <w:p w14:paraId="2D68127D" w14:textId="77777777" w:rsidR="00556205" w:rsidRPr="00834375" w:rsidRDefault="00000000">
      <w:pPr>
        <w:pStyle w:val="Ttulo2"/>
        <w:spacing w:after="120"/>
        <w:rPr>
          <w:lang w:val="es-CO"/>
        </w:rPr>
      </w:pPr>
      <w:r w:rsidRPr="00834375">
        <w:rPr>
          <w:lang w:val="es-CO"/>
        </w:rPr>
        <w:t>1.1 Línea de tiempo para las series temporales</w:t>
      </w:r>
    </w:p>
    <w:p w14:paraId="0C9A142A" w14:textId="77777777" w:rsidR="00556205" w:rsidRPr="00834375" w:rsidRDefault="00000000">
      <w:pPr>
        <w:spacing w:after="120"/>
        <w:jc w:val="both"/>
        <w:rPr>
          <w:lang w:val="es-CO"/>
        </w:rPr>
      </w:pPr>
      <w:r w:rsidRPr="00834375">
        <w:rPr>
          <w:lang w:val="es-CO"/>
        </w:rPr>
        <w:t>Para representar las series temporales se utilizó un gráfico de líneas. La posición de los valores sobre un eje continuo constituye una de las codificaciones visuales más precisas, mientras que la forma de la línea permite identificar directamente tendencias, incrementos, disminuciones y cambios a lo largo del tiempo. Un gráfico de barras por hora habría permitido comparar valores individuales, pero habría dificultado la percepción de una tendencia continua.</w:t>
      </w:r>
    </w:p>
    <w:p w14:paraId="0E043F11" w14:textId="77777777" w:rsidR="00556205" w:rsidRPr="00834375" w:rsidRDefault="00000000">
      <w:pPr>
        <w:pStyle w:val="Ttulo2"/>
        <w:spacing w:after="120"/>
        <w:rPr>
          <w:lang w:val="es-CO"/>
        </w:rPr>
      </w:pPr>
      <w:r w:rsidRPr="00834375">
        <w:rPr>
          <w:lang w:val="es-CO"/>
        </w:rPr>
        <w:t>1.2 Barras horizontales para comparar las 19 estaciones</w:t>
      </w:r>
    </w:p>
    <w:p w14:paraId="53F41E4E" w14:textId="77777777" w:rsidR="00556205" w:rsidRPr="00834375" w:rsidRDefault="00000000">
      <w:pPr>
        <w:spacing w:after="120"/>
        <w:jc w:val="both"/>
        <w:rPr>
          <w:lang w:val="es-CO"/>
        </w:rPr>
      </w:pPr>
      <w:r w:rsidRPr="00834375">
        <w:rPr>
          <w:lang w:val="es-CO"/>
        </w:rPr>
        <w:t>En este caso, la tarea principal consiste en comparar magnitudes discretas entre diferentes estaciones. La longitud de las barras es una codificación visual altamente precisa para realizar este tipo de comparación. Además, las estaciones fueron ordenadas de mayor a menor según el valor representado. Esta organización facilita la identificación del máximo, el mínimo y el ranking general. Si se hubiera utilizado un orden alfabético, el lector tendría que recorrer visualmente toda la lista para establecer las posiciones relativas.</w:t>
      </w:r>
    </w:p>
    <w:p w14:paraId="573B79D7" w14:textId="77777777" w:rsidR="00556205" w:rsidRPr="00834375" w:rsidRDefault="00000000">
      <w:pPr>
        <w:pStyle w:val="Ttulo2"/>
        <w:spacing w:after="120"/>
        <w:rPr>
          <w:lang w:val="es-CO"/>
        </w:rPr>
      </w:pPr>
      <w:r w:rsidRPr="00834375">
        <w:rPr>
          <w:lang w:val="es-CO"/>
        </w:rPr>
        <w:t xml:space="preserve">1.3 </w:t>
      </w:r>
      <w:proofErr w:type="spellStart"/>
      <w:r w:rsidRPr="00834375">
        <w:rPr>
          <w:lang w:val="es-CO"/>
        </w:rPr>
        <w:t>Heatmap</w:t>
      </w:r>
      <w:proofErr w:type="spellEnd"/>
      <w:r w:rsidRPr="00834375">
        <w:rPr>
          <w:lang w:val="es-CO"/>
        </w:rPr>
        <w:t xml:space="preserve"> estación × mes</w:t>
      </w:r>
    </w:p>
    <w:p w14:paraId="1FBE0F57" w14:textId="77777777" w:rsidR="00556205" w:rsidRPr="00834375" w:rsidRDefault="00000000">
      <w:pPr>
        <w:spacing w:after="120"/>
        <w:jc w:val="both"/>
        <w:rPr>
          <w:lang w:val="es-CO"/>
        </w:rPr>
      </w:pPr>
      <w:r w:rsidRPr="00834375">
        <w:rPr>
          <w:lang w:val="es-CO"/>
        </w:rPr>
        <w:t xml:space="preserve">El mapa de calor fue seleccionado para representar las 228 combinaciones resultantes de 19 estaciones y 12 meses. Representar esta cantidad de combinaciones mediante líneas o barras produciría una </w:t>
      </w:r>
      <w:r w:rsidRPr="00834375">
        <w:rPr>
          <w:lang w:val="es-CO"/>
        </w:rPr>
        <w:lastRenderedPageBreak/>
        <w:t>saturación visual considerable. La matriz codificada mediante color permite conservar simultáneamente las dimensiones estación y mes y observar patrones generales de un vistazo. Aunque el color presenta menor precisión que la posición para leer valores exactos, resulta apropiado cuando el objetivo principal es detectar patrones de concentración, variaciones y posibles comportamientos estacionales.</w:t>
      </w:r>
    </w:p>
    <w:p w14:paraId="595F351A" w14:textId="77777777" w:rsidR="00556205" w:rsidRPr="00834375" w:rsidRDefault="00000000">
      <w:pPr>
        <w:pStyle w:val="Ttulo1"/>
        <w:spacing w:after="120"/>
        <w:rPr>
          <w:lang w:val="es-CO"/>
        </w:rPr>
      </w:pPr>
      <w:r w:rsidRPr="00834375">
        <w:rPr>
          <w:lang w:val="es-CO"/>
        </w:rPr>
        <w:t>2. Separación del histograma y la serie de tiempo</w:t>
      </w:r>
    </w:p>
    <w:p w14:paraId="3484FEA3" w14:textId="77777777" w:rsidR="00556205" w:rsidRPr="00834375" w:rsidRDefault="00000000">
      <w:pPr>
        <w:spacing w:after="120"/>
        <w:jc w:val="both"/>
        <w:rPr>
          <w:lang w:val="es-CO"/>
        </w:rPr>
      </w:pPr>
      <w:r w:rsidRPr="00834375">
        <w:rPr>
          <w:lang w:val="es-CO"/>
        </w:rPr>
        <w:t>El histograma y la serie temporal se mantienen como visualizaciones independientes debido a que responden a preguntas analíticas diferentes. La serie temporal responde principalmente a la pregunta «¿cuándo ocurrió el fenómeno y cómo evolucionó?», mientras que el histograma responde a «¿con qué frecuencia aparece cada nivel de severidad, independientemente del momento en que ocurrió?». Mantener ambas perspectivas permite evitar que una dimensión temporal o una distribución de frecuencias oculte información relevante de la otra.</w:t>
      </w:r>
    </w:p>
    <w:p w14:paraId="6D298509" w14:textId="77777777" w:rsidR="00556205" w:rsidRPr="00834375" w:rsidRDefault="00000000">
      <w:pPr>
        <w:spacing w:after="120"/>
        <w:jc w:val="both"/>
        <w:rPr>
          <w:lang w:val="es-CO"/>
        </w:rPr>
      </w:pPr>
      <w:r w:rsidRPr="00834375">
        <w:rPr>
          <w:lang w:val="es-CO"/>
        </w:rPr>
        <w:t xml:space="preserve">Esta separación es especialmente importante porque dos estaciones pueden presentar un promedio similar y, sin embargo, tener distribuciones muy diferentes. Por ejemplo, una estación podría registrar condiciones generalmente </w:t>
      </w:r>
      <w:proofErr w:type="gramStart"/>
      <w:r w:rsidRPr="00834375">
        <w:rPr>
          <w:lang w:val="es-CO"/>
        </w:rPr>
        <w:t>favorables</w:t>
      </w:r>
      <w:proofErr w:type="gramEnd"/>
      <w:r w:rsidRPr="00834375">
        <w:rPr>
          <w:lang w:val="es-CO"/>
        </w:rPr>
        <w:t xml:space="preserve"> pero presentar episodios extremos ocasionales, mientras otra podría mantener valores moderadamente altos de manera constante. El promedio por sí solo puede ocultar esta diferencia, mientras que el histograma permite identificarla.</w:t>
      </w:r>
    </w:p>
    <w:p w14:paraId="6CE19198" w14:textId="77777777" w:rsidR="00556205" w:rsidRPr="00834375" w:rsidRDefault="00000000">
      <w:pPr>
        <w:pStyle w:val="Ttulo1"/>
        <w:spacing w:after="120"/>
        <w:rPr>
          <w:lang w:val="es-CO"/>
        </w:rPr>
      </w:pPr>
      <w:r w:rsidRPr="00834375">
        <w:rPr>
          <w:lang w:val="es-CO"/>
        </w:rPr>
        <w:t>3. Uso del color: dos lógicas de codificación</w:t>
      </w:r>
    </w:p>
    <w:p w14:paraId="249B60A4" w14:textId="77777777" w:rsidR="00556205" w:rsidRPr="00834375" w:rsidRDefault="00000000">
      <w:pPr>
        <w:spacing w:after="120"/>
        <w:jc w:val="both"/>
        <w:rPr>
          <w:lang w:val="es-CO"/>
        </w:rPr>
      </w:pPr>
      <w:r w:rsidRPr="00834375">
        <w:rPr>
          <w:lang w:val="es-CO"/>
        </w:rPr>
        <w:t>El color se emplea bajo dos lógicas diferentes, de acuerdo con la naturaleza de la variable representada. Esta diferenciación evita asignar significados contradictorios a una misma codificación visual.</w:t>
      </w:r>
    </w:p>
    <w:p w14:paraId="77D7471F" w14:textId="77777777" w:rsidR="00556205" w:rsidRPr="00834375" w:rsidRDefault="00000000">
      <w:pPr>
        <w:pStyle w:val="Ttulo2"/>
        <w:spacing w:after="120"/>
        <w:rPr>
          <w:lang w:val="es-CO"/>
        </w:rPr>
      </w:pPr>
      <w:r w:rsidRPr="00834375">
        <w:rPr>
          <w:lang w:val="es-CO"/>
        </w:rPr>
        <w:t>3.1 Color categórico</w:t>
      </w:r>
    </w:p>
    <w:p w14:paraId="18D05E69" w14:textId="77777777" w:rsidR="00556205" w:rsidRPr="00834375" w:rsidRDefault="00000000">
      <w:pPr>
        <w:spacing w:after="120"/>
        <w:jc w:val="both"/>
        <w:rPr>
          <w:lang w:val="es-CO"/>
        </w:rPr>
      </w:pPr>
      <w:r w:rsidRPr="00834375">
        <w:rPr>
          <w:lang w:val="es-CO"/>
        </w:rPr>
        <w:t xml:space="preserve">En la línea de tiempo y el histograma se utiliza una tonalidad diferente para cada estación. En este contexto, el color cumple una función identificadora y no establece una jerarquía entre las categorías. Por ello, se utiliza una paleta cualitativa de </w:t>
      </w:r>
      <w:proofErr w:type="spellStart"/>
      <w:r w:rsidRPr="00834375">
        <w:rPr>
          <w:lang w:val="es-CO"/>
        </w:rPr>
        <w:t>Plotly</w:t>
      </w:r>
      <w:proofErr w:type="spellEnd"/>
      <w:r w:rsidRPr="00834375">
        <w:rPr>
          <w:lang w:val="es-CO"/>
        </w:rPr>
        <w:t>, diseñada para facilitar la distinción entre grupos sin sugerir que una estación sea «mayor» o «menor» que otra por el simple hecho de poseer determinado color.</w:t>
      </w:r>
    </w:p>
    <w:p w14:paraId="0CC29639" w14:textId="77777777" w:rsidR="00556205" w:rsidRPr="00834375" w:rsidRDefault="00000000">
      <w:pPr>
        <w:pStyle w:val="Ttulo2"/>
        <w:spacing w:after="120"/>
        <w:rPr>
          <w:lang w:val="es-CO"/>
        </w:rPr>
      </w:pPr>
      <w:r w:rsidRPr="00834375">
        <w:rPr>
          <w:lang w:val="es-CO"/>
        </w:rPr>
        <w:t>3.2 Color secuencial</w:t>
      </w:r>
    </w:p>
    <w:p w14:paraId="2009C567" w14:textId="77777777" w:rsidR="00556205" w:rsidRPr="00834375" w:rsidRDefault="00000000">
      <w:pPr>
        <w:spacing w:after="120"/>
        <w:jc w:val="both"/>
        <w:rPr>
          <w:lang w:val="es-CO"/>
        </w:rPr>
      </w:pPr>
      <w:r w:rsidRPr="00834375">
        <w:rPr>
          <w:lang w:val="es-CO"/>
        </w:rPr>
        <w:t xml:space="preserve">En las barras por estación y en el </w:t>
      </w:r>
      <w:proofErr w:type="spellStart"/>
      <w:r w:rsidRPr="00834375">
        <w:rPr>
          <w:lang w:val="es-CO"/>
        </w:rPr>
        <w:t>heatmap</w:t>
      </w:r>
      <w:proofErr w:type="spellEnd"/>
      <w:r w:rsidRPr="00834375">
        <w:rPr>
          <w:lang w:val="es-CO"/>
        </w:rPr>
        <w:t xml:space="preserve"> se utiliza la escala secuencial </w:t>
      </w:r>
      <w:proofErr w:type="spellStart"/>
      <w:r w:rsidRPr="00834375">
        <w:rPr>
          <w:lang w:val="es-CO"/>
        </w:rPr>
        <w:t>YlOrRd</w:t>
      </w:r>
      <w:proofErr w:type="spellEnd"/>
      <w:r w:rsidRPr="00834375">
        <w:rPr>
          <w:lang w:val="es-CO"/>
        </w:rPr>
        <w:t xml:space="preserve">. En estos gráficos el color sí representa una variable ordinal o </w:t>
      </w:r>
      <w:proofErr w:type="gramStart"/>
      <w:r w:rsidRPr="00834375">
        <w:rPr>
          <w:lang w:val="es-CO"/>
        </w:rPr>
        <w:t>continua</w:t>
      </w:r>
      <w:proofErr w:type="gramEnd"/>
      <w:r w:rsidRPr="00834375">
        <w:rPr>
          <w:lang w:val="es-CO"/>
        </w:rPr>
        <w:t xml:space="preserve"> relacionada con el nivel de contaminación. La progresión de intensidad permite interpretar intuitivamente que una mayor intensidad corresponde a una condición de mayor severidad. Mezclar una escala secuencial con variables puramente categóricas podría generar interpretaciones incorrectas; por esta razón, ambas lógicas se mantienen separadas.</w:t>
      </w:r>
    </w:p>
    <w:p w14:paraId="31E6B8D7" w14:textId="77777777" w:rsidR="00556205" w:rsidRPr="00834375" w:rsidRDefault="00000000">
      <w:pPr>
        <w:pStyle w:val="Ttulo2"/>
        <w:spacing w:after="120"/>
        <w:rPr>
          <w:lang w:val="es-CO"/>
        </w:rPr>
      </w:pPr>
      <w:r w:rsidRPr="00834375">
        <w:rPr>
          <w:lang w:val="es-CO"/>
        </w:rPr>
        <w:t>3.3 Bandas horizontales de referencia IBOCA</w:t>
      </w:r>
    </w:p>
    <w:p w14:paraId="7B4DE153" w14:textId="77777777" w:rsidR="00556205" w:rsidRPr="00834375" w:rsidRDefault="00000000">
      <w:pPr>
        <w:spacing w:after="120"/>
        <w:jc w:val="both"/>
        <w:rPr>
          <w:lang w:val="es-CO"/>
        </w:rPr>
      </w:pPr>
      <w:r w:rsidRPr="00834375">
        <w:rPr>
          <w:lang w:val="es-CO"/>
        </w:rPr>
        <w:t xml:space="preserve">Las bandas horizontales correspondientes a las categorías IBOCA constituyen una tercera capa de color en la serie temporal. Se utiliza una transparencia baja, con una opacidad de 0,06, para que funcionen </w:t>
      </w:r>
      <w:r w:rsidRPr="00834375">
        <w:rPr>
          <w:lang w:val="es-CO"/>
        </w:rPr>
        <w:lastRenderedPageBreak/>
        <w:t>como un fondo de referencia y no compitan visualmente con las líneas de datos, que representan la información principal del gráfico.</w:t>
      </w:r>
    </w:p>
    <w:p w14:paraId="75CA2975" w14:textId="77777777" w:rsidR="00556205" w:rsidRPr="00834375" w:rsidRDefault="00000000">
      <w:pPr>
        <w:pStyle w:val="Ttulo1"/>
        <w:spacing w:after="120"/>
        <w:rPr>
          <w:lang w:val="es-CO"/>
        </w:rPr>
      </w:pPr>
      <w:r w:rsidRPr="00834375">
        <w:rPr>
          <w:lang w:val="es-CO"/>
        </w:rPr>
        <w:t>4. Justificación del gráfico de dona para las categorías IBOCA</w:t>
      </w:r>
    </w:p>
    <w:p w14:paraId="67A55487" w14:textId="77777777" w:rsidR="00556205" w:rsidRPr="00834375" w:rsidRDefault="00000000">
      <w:pPr>
        <w:spacing w:after="120"/>
        <w:jc w:val="both"/>
        <w:rPr>
          <w:lang w:val="es-CO"/>
        </w:rPr>
      </w:pPr>
      <w:r w:rsidRPr="00834375">
        <w:rPr>
          <w:lang w:val="es-CO"/>
        </w:rPr>
        <w:t>Aunque los gráficos circulares y de dona suelen evitarse en visualización de datos debido a que el ángulo constituye una codificación menos precisa que la posición o la longitud, en este caso su utilización se considera pertinente por las características específicas de la pregunta analítica.</w:t>
      </w:r>
    </w:p>
    <w:p w14:paraId="4CA8B5F4" w14:textId="77777777" w:rsidR="00556205" w:rsidRPr="00834375" w:rsidRDefault="00000000">
      <w:pPr>
        <w:spacing w:after="120"/>
        <w:ind w:left="360" w:hanging="180"/>
        <w:rPr>
          <w:lang w:val="es-CO"/>
        </w:rPr>
      </w:pPr>
      <w:r w:rsidRPr="00834375">
        <w:rPr>
          <w:lang w:val="es-CO"/>
        </w:rPr>
        <w:t>• Se representan únicamente seis categorías, por lo que la cantidad de segmentos es limitada y permite una lectura razonable.</w:t>
      </w:r>
    </w:p>
    <w:p w14:paraId="7F593597" w14:textId="77777777" w:rsidR="00556205" w:rsidRPr="00834375" w:rsidRDefault="00000000">
      <w:pPr>
        <w:spacing w:after="120"/>
        <w:ind w:left="360" w:hanging="180"/>
        <w:rPr>
          <w:lang w:val="es-CO"/>
        </w:rPr>
      </w:pPr>
      <w:r w:rsidRPr="00834375">
        <w:rPr>
          <w:lang w:val="es-CO"/>
        </w:rPr>
        <w:t>• Las categorías poseen un significado semántico previamente establecido, asociado a niveles de calidad o riesgo del aire.</w:t>
      </w:r>
    </w:p>
    <w:p w14:paraId="1C69EDE6" w14:textId="77777777" w:rsidR="00556205" w:rsidRPr="00834375" w:rsidRDefault="00000000">
      <w:pPr>
        <w:spacing w:after="120"/>
        <w:ind w:left="360" w:hanging="180"/>
        <w:rPr>
          <w:lang w:val="es-CO"/>
        </w:rPr>
      </w:pPr>
      <w:r w:rsidRPr="00834375">
        <w:rPr>
          <w:lang w:val="es-CO"/>
        </w:rPr>
        <w:t>• La pregunta principal es de tipo parte-del-todo: «¿qué proporción del tiempo se permaneció en cada categoría de riesgo?».</w:t>
      </w:r>
    </w:p>
    <w:p w14:paraId="26D856C4" w14:textId="77777777" w:rsidR="00556205" w:rsidRPr="00834375" w:rsidRDefault="00000000">
      <w:pPr>
        <w:spacing w:after="120"/>
        <w:ind w:left="360" w:hanging="180"/>
        <w:rPr>
          <w:lang w:val="es-CO"/>
        </w:rPr>
      </w:pPr>
      <w:r w:rsidRPr="00834375">
        <w:rPr>
          <w:lang w:val="es-CO"/>
        </w:rPr>
        <w:t>• Cada categoría se relaciona con los colores oficiales del IBOCA, aprovechando una convención visual que puede resultar familiar para la audiencia.</w:t>
      </w:r>
    </w:p>
    <w:p w14:paraId="5485583F" w14:textId="77777777" w:rsidR="00556205" w:rsidRPr="00834375" w:rsidRDefault="00000000">
      <w:pPr>
        <w:spacing w:after="120"/>
        <w:ind w:left="360" w:hanging="180"/>
        <w:rPr>
          <w:lang w:val="es-CO"/>
        </w:rPr>
      </w:pPr>
      <w:r w:rsidRPr="00834375">
        <w:rPr>
          <w:lang w:val="es-CO"/>
        </w:rPr>
        <w:t>• El uso de estos colores reduce la carga cognitiva, ya que el lector no necesita aprender una codificación cromática completamente nueva para interpretar los niveles de riesgo.</w:t>
      </w:r>
    </w:p>
    <w:p w14:paraId="1A9747D3" w14:textId="77777777" w:rsidR="00556205" w:rsidRPr="00834375" w:rsidRDefault="00000000">
      <w:pPr>
        <w:pStyle w:val="Ttulo1"/>
        <w:spacing w:after="120"/>
        <w:rPr>
          <w:lang w:val="es-CO"/>
        </w:rPr>
      </w:pPr>
      <w:r w:rsidRPr="00834375">
        <w:rPr>
          <w:lang w:val="es-CO"/>
        </w:rPr>
        <w:t>5. Densidad de información y jerarquía visual</w:t>
      </w:r>
    </w:p>
    <w:p w14:paraId="38AB2273" w14:textId="77777777" w:rsidR="00556205" w:rsidRPr="00834375" w:rsidRDefault="00000000">
      <w:pPr>
        <w:spacing w:after="120"/>
        <w:jc w:val="both"/>
        <w:rPr>
          <w:lang w:val="es-CO"/>
        </w:rPr>
      </w:pPr>
      <w:r w:rsidRPr="00834375">
        <w:rPr>
          <w:lang w:val="es-CO"/>
        </w:rPr>
        <w:t xml:space="preserve">La organización general del </w:t>
      </w:r>
      <w:proofErr w:type="spellStart"/>
      <w:r w:rsidRPr="00834375">
        <w:rPr>
          <w:lang w:val="es-CO"/>
        </w:rPr>
        <w:t>dashboard</w:t>
      </w:r>
      <w:proofErr w:type="spellEnd"/>
      <w:r w:rsidRPr="00834375">
        <w:rPr>
          <w:lang w:val="es-CO"/>
        </w:rPr>
        <w:t xml:space="preserve"> sigue el principio de «</w:t>
      </w:r>
      <w:proofErr w:type="spellStart"/>
      <w:r w:rsidRPr="00834375">
        <w:rPr>
          <w:lang w:val="es-CO"/>
        </w:rPr>
        <w:t>overview</w:t>
      </w:r>
      <w:proofErr w:type="spellEnd"/>
      <w:r w:rsidRPr="00834375">
        <w:rPr>
          <w:lang w:val="es-CO"/>
        </w:rPr>
        <w:t xml:space="preserve"> </w:t>
      </w:r>
      <w:proofErr w:type="spellStart"/>
      <w:r w:rsidRPr="00834375">
        <w:rPr>
          <w:lang w:val="es-CO"/>
        </w:rPr>
        <w:t>first</w:t>
      </w:r>
      <w:proofErr w:type="spellEnd"/>
      <w:r w:rsidRPr="00834375">
        <w:rPr>
          <w:lang w:val="es-CO"/>
        </w:rPr>
        <w:t xml:space="preserve">, </w:t>
      </w:r>
      <w:proofErr w:type="spellStart"/>
      <w:r w:rsidRPr="00834375">
        <w:rPr>
          <w:lang w:val="es-CO"/>
        </w:rPr>
        <w:t>details</w:t>
      </w:r>
      <w:proofErr w:type="spellEnd"/>
      <w:r w:rsidRPr="00834375">
        <w:rPr>
          <w:lang w:val="es-CO"/>
        </w:rPr>
        <w:t xml:space="preserve"> </w:t>
      </w:r>
      <w:proofErr w:type="spellStart"/>
      <w:r w:rsidRPr="00834375">
        <w:rPr>
          <w:lang w:val="es-CO"/>
        </w:rPr>
        <w:t>on</w:t>
      </w:r>
      <w:proofErr w:type="spellEnd"/>
      <w:r w:rsidRPr="00834375">
        <w:rPr>
          <w:lang w:val="es-CO"/>
        </w:rPr>
        <w:t xml:space="preserve"> </w:t>
      </w:r>
      <w:proofErr w:type="spellStart"/>
      <w:r w:rsidRPr="00834375">
        <w:rPr>
          <w:lang w:val="es-CO"/>
        </w:rPr>
        <w:t>demand</w:t>
      </w:r>
      <w:proofErr w:type="spellEnd"/>
      <w:r w:rsidRPr="00834375">
        <w:rPr>
          <w:lang w:val="es-CO"/>
        </w:rPr>
        <w:t>», asociado al trabajo de Ben Shneiderman. De acuerdo con este enfoque, la interfaz presenta inicialmente un resumen de la información y posteriormente permite profundizar en los detalles mediante las visualizaciones.</w:t>
      </w:r>
    </w:p>
    <w:p w14:paraId="1855637B" w14:textId="77777777" w:rsidR="00556205" w:rsidRPr="00834375" w:rsidRDefault="00000000">
      <w:pPr>
        <w:spacing w:after="120"/>
        <w:jc w:val="both"/>
        <w:rPr>
          <w:lang w:val="es-CO"/>
        </w:rPr>
      </w:pPr>
      <w:r w:rsidRPr="00834375">
        <w:rPr>
          <w:lang w:val="es-CO"/>
        </w:rPr>
        <w:t>Por esta razón, los indicadores clave de desempeño (</w:t>
      </w:r>
      <w:proofErr w:type="spellStart"/>
      <w:r w:rsidRPr="00834375">
        <w:rPr>
          <w:lang w:val="es-CO"/>
        </w:rPr>
        <w:t>KPIs</w:t>
      </w:r>
      <w:proofErr w:type="spellEnd"/>
      <w:r w:rsidRPr="00834375">
        <w:rPr>
          <w:lang w:val="es-CO"/>
        </w:rPr>
        <w:t>) se ubican en la parte superior y se presentan mediante números grandes, sin recurrir a gráficos adicionales. De esta manera, el usuario puede obtener rápidamente una visión general antes de interpretar visualizaciones más complejas.</w:t>
      </w:r>
    </w:p>
    <w:p w14:paraId="1ED62706" w14:textId="77777777" w:rsidR="00556205" w:rsidRPr="00834375" w:rsidRDefault="00000000">
      <w:pPr>
        <w:spacing w:after="120"/>
        <w:jc w:val="both"/>
        <w:rPr>
          <w:lang w:val="es-CO"/>
        </w:rPr>
      </w:pPr>
      <w:r w:rsidRPr="00834375">
        <w:rPr>
          <w:lang w:val="es-CO"/>
        </w:rPr>
        <w:t xml:space="preserve">La disposición de los gráficos también considera una progresión de carga cognitiva. Las visualizaciones más sencillas de interpretar, como la serie temporal, aparecen antes que aquellas con mayor densidad de información, como el </w:t>
      </w:r>
      <w:proofErr w:type="spellStart"/>
      <w:r w:rsidRPr="00834375">
        <w:rPr>
          <w:lang w:val="es-CO"/>
        </w:rPr>
        <w:t>heatmap</w:t>
      </w:r>
      <w:proofErr w:type="spellEnd"/>
      <w:r w:rsidRPr="00834375">
        <w:rPr>
          <w:lang w:val="es-CO"/>
        </w:rPr>
        <w:t>. Así se evita presentar la matriz más compleja al inicio y se establece una secuencia que va desde el resumen y la tendencia general hasta el análisis detallado de patrones por estación y mes.</w:t>
      </w:r>
    </w:p>
    <w:p w14:paraId="18A3D3A5" w14:textId="77777777" w:rsidR="00556205" w:rsidRPr="00834375" w:rsidRDefault="00000000">
      <w:pPr>
        <w:pStyle w:val="Ttulo1"/>
        <w:spacing w:after="120"/>
        <w:rPr>
          <w:lang w:val="es-CO"/>
        </w:rPr>
      </w:pPr>
      <w:r w:rsidRPr="00834375">
        <w:rPr>
          <w:lang w:val="es-CO"/>
        </w:rPr>
        <w:t>6. Conclusión</w:t>
      </w:r>
    </w:p>
    <w:p w14:paraId="5FFB18D6" w14:textId="77777777" w:rsidR="00556205" w:rsidRPr="00834375" w:rsidRDefault="00000000">
      <w:pPr>
        <w:spacing w:after="120"/>
        <w:jc w:val="both"/>
        <w:rPr>
          <w:lang w:val="es-CO"/>
        </w:rPr>
      </w:pPr>
      <w:r w:rsidRPr="00834375">
        <w:rPr>
          <w:lang w:val="es-CO"/>
        </w:rPr>
        <w:t xml:space="preserve">En conjunto, la selección de las visualizaciones no responde únicamente a criterios estéticos, sino a una relación directa entre la tarea analítica y la capacidad perceptual del recurso gráfico. Las líneas permiten estudiar tendencias temporales, las barras facilitan comparaciones y rankings, el </w:t>
      </w:r>
      <w:proofErr w:type="spellStart"/>
      <w:r w:rsidRPr="00834375">
        <w:rPr>
          <w:lang w:val="es-CO"/>
        </w:rPr>
        <w:t>heatmap</w:t>
      </w:r>
      <w:proofErr w:type="spellEnd"/>
      <w:r w:rsidRPr="00834375">
        <w:rPr>
          <w:lang w:val="es-CO"/>
        </w:rPr>
        <w:t xml:space="preserve"> permite </w:t>
      </w:r>
      <w:r w:rsidRPr="00834375">
        <w:rPr>
          <w:lang w:val="es-CO"/>
        </w:rPr>
        <w:lastRenderedPageBreak/>
        <w:t xml:space="preserve">explorar patrones densos, el histograma muestra la distribución de los niveles de contaminación y la dona resume una relación parte-del-todo para las categorías IBOCA. Asimismo, la separación entre color categórico y color secuencial permite mantener una semántica visual coherente. Finalmente, la jerarquía de los elementos del </w:t>
      </w:r>
      <w:proofErr w:type="spellStart"/>
      <w:r w:rsidRPr="00834375">
        <w:rPr>
          <w:lang w:val="es-CO"/>
        </w:rPr>
        <w:t>dashboard</w:t>
      </w:r>
      <w:proofErr w:type="spellEnd"/>
      <w:r w:rsidRPr="00834375">
        <w:rPr>
          <w:lang w:val="es-CO"/>
        </w:rPr>
        <w:t xml:space="preserve"> busca reducir la carga cognitiva y facilitar una lectura progresiva desde la información general hacia el análisis detallado.</w:t>
      </w:r>
    </w:p>
    <w:sectPr w:rsidR="00556205" w:rsidRPr="0083437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7219715">
    <w:abstractNumId w:val="8"/>
  </w:num>
  <w:num w:numId="2" w16cid:durableId="1034187758">
    <w:abstractNumId w:val="6"/>
  </w:num>
  <w:num w:numId="3" w16cid:durableId="1744140241">
    <w:abstractNumId w:val="5"/>
  </w:num>
  <w:num w:numId="4" w16cid:durableId="475027604">
    <w:abstractNumId w:val="4"/>
  </w:num>
  <w:num w:numId="5" w16cid:durableId="98572272">
    <w:abstractNumId w:val="7"/>
  </w:num>
  <w:num w:numId="6" w16cid:durableId="1559972094">
    <w:abstractNumId w:val="3"/>
  </w:num>
  <w:num w:numId="7" w16cid:durableId="1252857088">
    <w:abstractNumId w:val="2"/>
  </w:num>
  <w:num w:numId="8" w16cid:durableId="1571647434">
    <w:abstractNumId w:val="1"/>
  </w:num>
  <w:num w:numId="9" w16cid:durableId="1180775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862"/>
    <w:rsid w:val="00556205"/>
    <w:rsid w:val="008343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3FF8D"/>
  <w14:defaultImageDpi w14:val="300"/>
  <w15:docId w15:val="{BAC75763-BEEB-424B-83F5-E569889F2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1279</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ANDRES MARTINEZ GRAJALES</cp:lastModifiedBy>
  <cp:revision>2</cp:revision>
  <dcterms:created xsi:type="dcterms:W3CDTF">2013-12-23T23:15:00Z</dcterms:created>
  <dcterms:modified xsi:type="dcterms:W3CDTF">2026-09-15T18:24:00Z</dcterms:modified>
  <cp:category/>
</cp:coreProperties>
</file>