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45"/>
              <w:left w:type="dxa" w:w="140"/>
              <w:bottom w:type="dxa" w:w="45"/>
              <w:right w:type="dxa" w:w="14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pacing w:val="24"/>
                <w:sz w:val="15"/>
                <w:szCs w:val="15"/>
              </w:rPr>
              <w:t xml:space="preserve">BUDGET AND JUSTIFICATION   |   12-MONTH PILOT   |   PEDIATRIC BRAIN TUMOR IMMUNOTHERAPY</w:t>
            </w:r>
          </w:p>
        </w:tc>
      </w:tr>
    </w:tbl>
    <w:p>
      <w:pPr>
        <w:pStyle w:val="Title"/>
      </w:pPr>
      <w:r>
        <w:t xml:space="preserve">Budget and Justification</w:t>
      </w:r>
    </w:p>
    <w:p>
      <w:pPr>
        <w:spacing w:after="90" w:before="0" w:line="250" w:lineRule="auto"/>
      </w:pPr>
      <w:r>
        <w:rPr>
          <w:color w:val="52606D"/>
          <w:sz w:val="22"/>
          <w:szCs w:val="22"/>
        </w:rPr>
        <w:t xml:space="preserve">Test Before You Treat: a shippable immune-cell platform to personalize immunotherapy for childhood brain tumors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tcBorders>
              <w:top w:val="single" w:color="A85A14" w:sz="24"/>
              <w:left w:val="none" w:color="FFFFFF" w:sz="0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$75,000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total request for a 12-month project period</w:t>
            </w:r>
          </w:p>
        </w:tc>
        <w:tc>
          <w:tcPr>
            <w:tcW w:type="dxa" w:w="2700"/>
            <w:tcBorders>
              <w:top w:val="single" w:color="14324F" w:sz="24"/>
              <w:left w:val="single" w:color="FFFFFF" w:sz="24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$50,000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 Dr. Samuel Cheshier, University of Utah</w:t>
            </w:r>
          </w:p>
        </w:tc>
        <w:tc>
          <w:tcPr>
            <w:tcW w:type="dxa" w:w="2700"/>
            <w:tcBorders>
              <w:top w:val="single" w:color="17707E" w:sz="24"/>
              <w:left w:val="single" w:color="FFFFFF" w:sz="24"/>
              <w:bottom w:val="none" w:color="FFFFFF" w:sz="0"/>
              <w:right w:val="single" w:color="FFFFFF" w:sz="24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$25,000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to Dr. Andrew Satterlee, UNC Chapel Hill</w:t>
            </w:r>
          </w:p>
        </w:tc>
        <w:tc>
          <w:tcPr>
            <w:tcW w:type="dxa" w:w="2700"/>
            <w:tcBorders>
              <w:top w:val="single" w:color="52606D" w:sz="24"/>
              <w:left w:val="single" w:color="FFFFFF" w:sz="24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14324F"/>
                <w:sz w:val="40"/>
                <w:szCs w:val="40"/>
              </w:rPr>
              <w:t xml:space="preserve">12 months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from the start of funding to the final report</w:t>
            </w:r>
          </w:p>
        </w:tc>
      </w:tr>
    </w:tbl>
    <w:p>
      <w:pPr>
        <w:pStyle w:val="Heading1"/>
      </w:pPr>
      <w:r>
        <w:t xml:space="preserve">Who receives the funds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  <w:gridCol w:w="360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University of Utah   $50,000   (67%)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UNC   $25,000   (33%)</w:t>
            </w:r>
          </w:p>
        </w:tc>
      </w:tr>
    </w:tbl>
    <w:p>
      <w:pPr>
        <w:spacing w:after="0" w:before="0" w:line="80" w:lineRule="exact"/>
      </w:pPr>
      <w:r>
        <w:rPr>
          <w:sz w:val="2"/>
          <w:szCs w:val="2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4700"/>
        <w:gridCol w:w="1400"/>
        <w:gridCol w:w="1200"/>
      </w:tblGrid>
      <w:tr>
        <w:trPr>
          <w:cantSplit/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Recipient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Role in the project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single" w:color="14324F" w:sz="36"/>
              <w:bottom w:val="single" w:color="C9D2DB" w:sz="4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1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Dr. Samuel Cheshier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University of Utah · Huntsman Cancer Institute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Makes and freezes cord-blood, adult and NG2-targeted macrophages; runs the tumor-eating assays; ships the cells.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$50,000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8"/>
                <w:szCs w:val="18"/>
              </w:rPr>
              <w:t xml:space="preserve">67%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single" w:color="17707E" w:sz="36"/>
              <w:bottom w:val="single" w:color="C9D2DB" w:sz="4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1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Dr. Andrew Satterlee</w:t>
            </w:r>
          </w:p>
          <w:p>
            <w:pPr>
              <w:spacing w:after="0" w:before="0" w:line="225" w:lineRule="auto"/>
            </w:pPr>
            <w:r>
              <w:rPr>
                <w:color w:val="52606D"/>
                <w:sz w:val="17"/>
                <w:szCs w:val="17"/>
              </w:rPr>
              <w:t xml:space="preserve">University of North Carolina at Chapel Hill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Receives and thaws the shipments; runs SLiCE on patient tumors; reports tumor killing and normal-brain safety.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$25,000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8"/>
                <w:szCs w:val="18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8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A85A14"/>
                <w:sz w:val="21"/>
                <w:szCs w:val="21"/>
              </w:rPr>
              <w:t xml:space="preserve">Total request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22"/>
                <w:szCs w:val="22"/>
              </w:rPr>
              <w:t xml:space="preserve">$75,000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A85A14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</w:pPr>
      <w:r>
        <w:t xml:space="preserve">Detailed budget and justification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000"/>
        <w:gridCol w:w="1400"/>
      </w:tblGrid>
      <w:tr>
        <w:trPr>
          <w:cantSplit/>
        </w:trPr>
        <w:tc>
          <w:tcPr>
            <w:tcW w:type="dxa" w:w="9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University of Utah  ·  Dr. Samuel Cheshier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2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$50,000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What it covers and why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Personnel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Research technician or scientist at about 50% effort for 12 months (salary plus fringe benefits). Makes cord-blood and adult macrophages, runs the freezing and thawing experiments, builds NG2-targeted macrophages, and performs the tumor-eating assays. Dr. Cheshier’s effort is contributed in kind.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$26,000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Cell production and freezing supplies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Macrophages take about a week to grow from each donor sample. Testing many freezing recipes on at least three cord-blood and three adult donors, with fresh-cell controls, drives the cost of media, growth factors, serum, freezing solutions (including CryoStor CS10), cryovials, cooling containers and viability dyes.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$8,500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Human blood products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Umbilical cord blood (University of Utah Obstetrics) and adult donor blood cells (leukocyte-reduction chambers from ARUP Laboratories), as used in our previous studies, plus processing fees.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Genetic engineering of macrophages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NG2-targeted CAR macrophages are made by delivering the receptor gene with a lentivirus. Covers vector production and packaging, transduction reagents, and antibodies to confirm the receptor survives freezing.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Tumor-eating assays and flow cytometry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Anti-CD47 antibody, fluorescent antibodies and cell labels; maintenance and authentication of pHGG cell lines; and fee-for-service time on the university flow cytometry core to count live cells and measure tumor-eating.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Shipping and cold chain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About eight shipments to UNC (four per aim) in liquid-nitrogen dry shippers with temperature loggers, at roughly $560 each including courier, shipper rental and charging.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Travel and dissemination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One visit to UNC to align protocols in person, plus open-access publication and data-sharing costs.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</w:tr>
      <w:tr>
        <w:trPr>
          <w:cantSplit/>
        </w:trPr>
        <w:tc>
          <w:tcPr>
            <w:tcW w:type="dxa" w:w="9400"/>
            <w:gridSpan w:val="2"/>
            <w:tcBorders>
              <w:top w:val="single" w:color="14324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Subtotal, University of Utah</w:t>
            </w:r>
          </w:p>
        </w:tc>
        <w:tc>
          <w:tcPr>
            <w:tcW w:type="dxa" w:w="1400"/>
            <w:tcBorders>
              <w:top w:val="single" w:color="14324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21"/>
                <w:szCs w:val="21"/>
              </w:rPr>
              <w:t xml:space="preserve">$50,000</w:t>
            </w:r>
          </w:p>
        </w:tc>
      </w:tr>
    </w:tbl>
    <w:p>
      <w:pPr>
        <w:pageBreakBefore/>
        <w:spacing w:after="0" w:before="0" w:line="40" w:lineRule="exact"/>
      </w:pPr>
      <w:r>
        <w:rPr>
          <w:sz w:val="2"/>
          <w:szCs w:val="2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000"/>
        <w:gridCol w:w="1400"/>
      </w:tblGrid>
      <w:tr>
        <w:trPr>
          <w:cantSplit/>
        </w:trPr>
        <w:tc>
          <w:tcPr>
            <w:tcW w:type="dxa" w:w="9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UNC Chapel Hill  ·  Dr. Andrew Satterlee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07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$25,000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What it covers and why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Personnel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Research associate or technician at about 25–30% effort for 12 months (salary plus fringe benefits). Receives and thaws shipments, runs the four-day SLiCE assays, and analyzes tumor-killing and normal-brain safety data. Dr. Satterlee’s effort is contributed in kind.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Brain-slice supplies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SLiCE uses brain slices cut from young rat pups. Covers animals and animal care, vibratome blades, culture inserts, slice media and supplements, and plasticware for each four-day assay.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$5,500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 handling and readouts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Reporter viruses to label tumor cells, luciferin and imaging time for bioluminescence readouts, and antibodies to confirm NG2 and track macrophages in the slices.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Tumor tissue and cryostorage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Procurement, labeling and cryostorage of pHGG tissue, plus liquid nitrogen to receive and hold shipments.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b/>
                <w:bCs/>
                <w:sz w:val="18"/>
                <w:szCs w:val="18"/>
              </w:rPr>
              <w:t xml:space="preserve">Return shipping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</w:pPr>
            <w:r>
              <w:rPr>
                <w:sz w:val="18"/>
                <w:szCs w:val="18"/>
              </w:rPr>
              <w:t xml:space="preserve">Return of dry shippers and temperature loggers to Utah between experiments.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before="0" w:line="235" w:lineRule="auto"/>
              <w:jc w:val="right"/>
            </w:pPr>
            <w:r>
              <w:rPr>
                <w:sz w:val="19"/>
                <w:szCs w:val="19"/>
              </w:rPr>
              <w:t xml:space="preserve">$1,000</w:t>
            </w:r>
          </w:p>
        </w:tc>
      </w:tr>
      <w:tr>
        <w:trPr>
          <w:cantSplit/>
        </w:trPr>
        <w:tc>
          <w:tcPr>
            <w:tcW w:type="dxa" w:w="9400"/>
            <w:gridSpan w:val="2"/>
            <w:tcBorders>
              <w:top w:val="single" w:color="17707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Subtotal, UNC Chapel Hill</w:t>
            </w:r>
          </w:p>
        </w:tc>
        <w:tc>
          <w:tcPr>
            <w:tcW w:type="dxa" w:w="1400"/>
            <w:tcBorders>
              <w:top w:val="single" w:color="17707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7707E"/>
                <w:sz w:val="21"/>
                <w:szCs w:val="21"/>
              </w:rPr>
              <w:t xml:space="preserve">$25,000</w:t>
            </w:r>
          </w:p>
        </w:tc>
      </w:tr>
    </w:tbl>
    <w:p>
      <w:pPr>
        <w:pStyle w:val="Heading1"/>
      </w:pPr>
      <w:r>
        <w:t xml:space="preserve">Budget by category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1850"/>
        <w:gridCol w:w="1850"/>
        <w:gridCol w:w="1650"/>
        <w:gridCol w:w="1650"/>
      </w:tblGrid>
      <w:tr>
        <w:trPr>
          <w:cantSplit/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University of Utah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UNC Chapel Hill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Total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14324F" w:sz="8"/>
              <w:right w:val="none" w:color="FFFFFF" w:sz="0"/>
            </w:tcBorders>
            <w:shd w:fill="F4F6F8" w:color="auto" w:val="clear"/>
            <w:tcMar>
              <w:top w:type="dxa" w:w="50"/>
              <w:left w:type="dxa" w:w="130"/>
              <w:bottom w:type="dxa" w:w="50"/>
              <w:right w:type="dxa" w:w="110"/>
            </w:tcMar>
          </w:tcPr>
          <w:p>
            <w:pPr>
              <w:keepNext/>
              <w:spacing w:after="0" w:before="0" w:line="240" w:lineRule="auto"/>
              <w:jc w:val="right"/>
            </w:pPr>
            <w:r>
              <w:rPr>
                <w:b/>
                <w:bCs/>
                <w:color w:val="14324F"/>
                <w:sz w:val="17"/>
                <w:szCs w:val="17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Personnel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$26,000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$13,000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$39,000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52%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Laboratory supplies and services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$18,000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$11,000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$29,000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39%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Shipping and cold-chain logistics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$4,500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$5,500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sz w:val="19"/>
                <w:szCs w:val="19"/>
              </w:rPr>
              <w:t xml:space="preserve">Travel and dissemination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sz w:val="19"/>
                <w:szCs w:val="19"/>
              </w:rPr>
              <w:t xml:space="preserve">$1,500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9D2DB" w:sz="4"/>
              <w:right w:val="none" w:color="FFFFFF" w:sz="0"/>
            </w:tcBorders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52606D"/>
                <w:sz w:val="19"/>
                <w:szCs w:val="19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$50,000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$25,000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A85A14"/>
                <w:sz w:val="19"/>
                <w:szCs w:val="19"/>
              </w:rPr>
              <w:t xml:space="preserve">$75,000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DD" w:color="auto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A85A14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</w:pPr>
      <w:r>
        <w:t xml:space="preserve">What the funding delivers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Validated freezing recipes</w:t>
      </w:r>
      <w:r>
        <w:t xml:space="preserve"> for cord-blood, adult and NG2-targeted macrophages (Aims 1.1 and 2.1).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Proof that frozen macrophages travel:</w:t>
      </w:r>
      <w:r>
        <w:t xml:space="preserve"> about eight shipments from Utah to UNC, with the cells tested in SLiCE on pediatric high-grade glioma tissue (Aims 1.2 and 2.2).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A shipping protocol and final report</w:t>
      </w:r>
      <w:r>
        <w:t xml:space="preserve"> that any partner laboratory can follow, the foundation for a multi-center immunotherapy testing network.</w:t>
      </w:r>
    </w:p>
    <w:p>
      <w:pPr>
        <w:pStyle w:val="Heading1"/>
      </w:pPr>
      <w:r>
        <w:t xml:space="preserve">Notes and assumptions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Estimates.</w:t>
      </w:r>
      <w:r>
        <w:t xml:space="preserve"> All amounts are good-faith estimates for a 12-month project and will be confirmed with each institution’s sponsored programs office before submission.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Site totals are all-inclusive.</w:t>
      </w:r>
      <w:r>
        <w:t xml:space="preserve"> No separate indirect-cost (facilities and administrative) line is shown. If the sponsor allows or requires one, line items will be rebalanced so that the site totals stay at $50,000 (Utah) and $25,000 (UNC).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No equipment purchases.</w:t>
      </w:r>
      <w:r>
        <w:t xml:space="preserve"> Existing core facilities for flow cytometry, imaging, cell culture and cryostorage will be used.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b/>
          <w:bCs/>
        </w:rPr>
        <w:t xml:space="preserve">Investigator effort</w:t>
      </w:r>
      <w:r>
        <w:t xml:space="preserve"> is contributed in kind; no investigator salary is requested.</w:t>
      </w:r>
    </w:p>
    <w:sectPr>
      <w:footerReference w:type="default" r:id="rId7"/>
      <w:pgSz w:w="12240" w:h="15840" w:orient="portrait"/>
      <w:pgMar w:top="720" w:right="720" w:bottom="720" w:left="720" w:header="30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</w:pPr>
    <w:r>
      <w:t xml:space="preserve">Budget  |  Test Before You Treat  |  Cheshier &amp; Satterlee  |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A85A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  <w:lang w:val="en-US"/>
      </w:rPr>
    </w:rPrDefault>
    <w:pPrDefault>
      <w:pPr>
        <w:spacing w:after="70" w:line="250" w:lineRule="auto"/>
      </w:pPr>
    </w:pPrDefault>
  </w:docDefaults>
  <w:style w:type="paragraph" w:styleId="Title">
    <w:name w:val="Title"/>
    <w:basedOn w:val="Normal"/>
    <w:next w:val="Normal"/>
    <w:qFormat/>
    <w:pPr>
      <w:spacing w:after="0" w:before="90" w:line="240" w:lineRule="auto"/>
    </w:pPr>
    <w:rPr>
      <w:rFonts w:ascii="Calibri" w:cs="Calibri" w:eastAsia="Calibri" w:hAnsi="Calibri"/>
      <w:b/>
      <w:bCs/>
      <w:color w:val="14324F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7707E" w:sz="6" w:space="1"/>
      </w:pBdr>
      <w:spacing w:after="70" w:before="150" w:line="240" w:lineRule="auto"/>
      <w:outlineLvl w:val="0"/>
    </w:pPr>
    <w:rPr>
      <w:rFonts w:ascii="Calibri" w:cs="Calibri" w:eastAsia="Calibri" w:hAnsi="Calibri"/>
      <w:b/>
      <w:bCs/>
      <w:caps/>
      <w:color w:val="14324F"/>
      <w:spacing w:val="18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qFormat/>
    <w:pPr>
      <w:spacing w:after="0" w:before="0" w:line="240" w:lineRule="auto"/>
      <w:jc w:val="center"/>
    </w:pPr>
    <w:rPr>
      <w:color w:val="52606D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and Justification: Test Before You Treat</dc:title>
  <dc:subject>12-month, $75,000 budget</dc:subject>
  <dc:creator>Samuel H. Cheshier &amp; Andrew B. Satterlee</dc:creator>
  <dc:description>Budget for freezing, shipping and thawing macrophages for use in the SLiCE brain-slice platform</dc:description>
  <cp:lastModifiedBy>Un-named</cp:lastModifiedBy>
  <cp:revision>1</cp:revision>
  <dcterms:created xsi:type="dcterms:W3CDTF">2026-10-06T16:41:34.020Z</dcterms:created>
  <dcterms:modified xsi:type="dcterms:W3CDTF">2026-10-06T16:41:34.020Z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