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800"/>
      </w:tblGrid>
      <w:tr>
        <w:tc>
          <w:tcPr>
            <w:tcW w:type="dxa" w:w="10800"/>
            <w:tcBorders>
              <w:top w:val="none" w:color="FFFFFF" w:sz="0"/>
              <w:left w:val="none" w:color="FFFFFF" w:sz="0"/>
              <w:bottom w:val="none" w:color="FFFFFF" w:sz="0"/>
              <w:right w:val="none" w:color="FFFFFF" w:sz="0"/>
            </w:tcBorders>
            <w:shd w:fill="14324F" w:color="auto" w:val="clear"/>
            <w:tcMar>
              <w:top w:type="dxa" w:w="45"/>
              <w:left w:type="dxa" w:w="140"/>
              <w:bottom w:type="dxa" w:w="45"/>
              <w:right w:type="dxa" w:w="140"/>
            </w:tcMar>
          </w:tcPr>
          <w:p>
            <w:pPr>
              <w:spacing w:after="0" w:before="0" w:line="240" w:lineRule="auto"/>
            </w:pPr>
            <w:r>
              <w:rPr>
                <w:b/>
                <w:bCs/>
                <w:color w:val="FFFFFF"/>
                <w:spacing w:val="24"/>
                <w:sz w:val="15"/>
                <w:szCs w:val="15"/>
              </w:rPr>
              <w:t xml:space="preserve">RESEARCH PROPOSAL   |   12-MONTH PILOT   |   PEDIATRIC BRAIN TUMOR IMMUNOTHERAPY</w:t>
            </w:r>
          </w:p>
        </w:tc>
      </w:tr>
    </w:tbl>
    <w:p>
      <w:pPr>
        <w:pStyle w:val="Title"/>
      </w:pPr>
      <w:r>
        <w:t xml:space="preserve">Test Before You Treat</w:t>
      </w:r>
    </w:p>
    <w:p>
      <w:pPr>
        <w:spacing w:after="90" w:before="0" w:line="250" w:lineRule="auto"/>
      </w:pPr>
      <w:r>
        <w:rPr>
          <w:color w:val="52606D"/>
          <w:sz w:val="24"/>
          <w:szCs w:val="24"/>
        </w:rPr>
        <w:t xml:space="preserve">A shippable immune-cell platform to personalize immunotherapy for childhood brain tumors</w:t>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3500"/>
        <w:gridCol w:w="1700"/>
        <w:gridCol w:w="2100"/>
      </w:tblGrid>
      <w:tr>
        <w:trPr>
          <w:cantSplit/>
        </w:trPr>
        <w:tc>
          <w:tcPr>
            <w:tcW w:type="dxa" w:w="3500"/>
            <w:tcBorders>
              <w:top w:val="single" w:color="14324F" w:sz="24"/>
              <w:left w:val="none" w:color="FFFFFF" w:sz="0"/>
              <w:bottom w:val="none" w:color="FFFFFF" w:sz="0"/>
              <w:right w:val="single" w:color="FFFFFF" w:sz="24"/>
            </w:tcBorders>
            <w:shd w:fill="F4F6F8" w:color="auto" w:val="clear"/>
            <w:tcMar>
              <w:top w:type="dxa" w:w="60"/>
              <w:left w:type="dxa" w:w="110"/>
              <w:bottom w:type="dxa" w:w="60"/>
              <w:right w:type="dxa" w:w="110"/>
            </w:tcMar>
          </w:tcPr>
          <w:p>
            <w:pPr>
              <w:spacing w:after="10" w:before="0" w:line="220" w:lineRule="auto"/>
            </w:pPr>
            <w:r>
              <w:rPr>
                <w:b/>
                <w:bCs/>
                <w:color w:val="14324F"/>
                <w:spacing w:val="16"/>
                <w:sz w:val="14"/>
                <w:szCs w:val="14"/>
              </w:rPr>
              <w:t xml:space="preserve">UTAH  ·  CELLS, FREEZING, SHIPPING</w:t>
            </w:r>
          </w:p>
          <w:p>
            <w:pPr>
              <w:spacing w:after="10" w:before="0" w:line="240" w:lineRule="auto"/>
            </w:pPr>
            <w:r>
              <w:rPr>
                <w:b/>
                <w:bCs/>
                <w:sz w:val="21"/>
                <w:szCs w:val="21"/>
              </w:rPr>
              <w:t xml:space="preserve">Samuel H. Cheshier</w:t>
            </w:r>
          </w:p>
          <w:p>
            <w:pPr>
              <w:spacing w:after="0" w:before="0" w:line="225" w:lineRule="auto"/>
            </w:pPr>
            <w:r>
              <w:rPr>
                <w:color w:val="52606D"/>
                <w:sz w:val="16"/>
                <w:szCs w:val="16"/>
              </w:rPr>
              <w:t xml:space="preserve">University of Utah · Huntsman Cancer Institute · Intermountain Primary Children’s Hospital</w:t>
            </w:r>
          </w:p>
        </w:tc>
        <w:tc>
          <w:tcPr>
            <w:tcW w:type="dxa" w:w="3500"/>
            <w:tcBorders>
              <w:top w:val="single" w:color="17707E" w:sz="24"/>
              <w:left w:val="single" w:color="FFFFFF" w:sz="24"/>
              <w:bottom w:val="none" w:color="FFFFFF" w:sz="0"/>
              <w:right w:val="single" w:color="FFFFFF" w:sz="24"/>
            </w:tcBorders>
            <w:shd w:fill="F4F6F8" w:color="auto" w:val="clear"/>
            <w:tcMar>
              <w:top w:type="dxa" w:w="60"/>
              <w:left w:type="dxa" w:w="110"/>
              <w:bottom w:type="dxa" w:w="60"/>
              <w:right w:type="dxa" w:w="110"/>
            </w:tcMar>
          </w:tcPr>
          <w:p>
            <w:pPr>
              <w:spacing w:after="10" w:before="0" w:line="220" w:lineRule="auto"/>
            </w:pPr>
            <w:r>
              <w:rPr>
                <w:b/>
                <w:bCs/>
                <w:color w:val="17707E"/>
                <w:spacing w:val="16"/>
                <w:sz w:val="14"/>
                <w:szCs w:val="14"/>
              </w:rPr>
              <w:t xml:space="preserve">UNC  ·  SLiCE TESTING</w:t>
            </w:r>
          </w:p>
          <w:p>
            <w:pPr>
              <w:spacing w:after="10" w:before="0" w:line="240" w:lineRule="auto"/>
            </w:pPr>
            <w:r>
              <w:rPr>
                <w:b/>
                <w:bCs/>
                <w:sz w:val="21"/>
                <w:szCs w:val="21"/>
              </w:rPr>
              <w:t xml:space="preserve">Andrew B. Satterlee</w:t>
            </w:r>
          </w:p>
          <w:p>
            <w:pPr>
              <w:spacing w:after="0" w:before="0" w:line="225" w:lineRule="auto"/>
            </w:pPr>
            <w:r>
              <w:rPr>
                <w:color w:val="52606D"/>
                <w:sz w:val="16"/>
                <w:szCs w:val="16"/>
              </w:rPr>
              <w:t xml:space="preserve">University of North Carolina at Chapel Hill · Eshelman School of Pharmacy</w:t>
            </w:r>
          </w:p>
        </w:tc>
        <w:tc>
          <w:tcPr>
            <w:tcW w:type="dxa" w:w="1700"/>
            <w:tcBorders>
              <w:top w:val="single" w:color="A85A14" w:sz="24"/>
              <w:left w:val="single" w:color="FFFFFF" w:sz="24"/>
              <w:bottom w:val="none" w:color="FFFFFF" w:sz="0"/>
              <w:right w:val="single" w:color="FFFFFF" w:sz="24"/>
            </w:tcBorders>
            <w:shd w:fill="F4F6F8" w:color="auto" w:val="clear"/>
            <w:tcMar>
              <w:top w:type="dxa" w:w="60"/>
              <w:left w:type="dxa" w:w="110"/>
              <w:bottom w:type="dxa" w:w="60"/>
              <w:right w:type="dxa" w:w="110"/>
            </w:tcMar>
          </w:tcPr>
          <w:p>
            <w:pPr>
              <w:spacing w:after="10" w:before="0" w:line="220" w:lineRule="auto"/>
            </w:pPr>
            <w:r>
              <w:rPr>
                <w:b/>
                <w:bCs/>
                <w:color w:val="A85A14"/>
                <w:spacing w:val="16"/>
                <w:sz w:val="14"/>
                <w:szCs w:val="14"/>
              </w:rPr>
              <w:t xml:space="preserve">PROJECT PERIOD</w:t>
            </w:r>
          </w:p>
          <w:p>
            <w:pPr>
              <w:spacing w:after="0" w:before="0" w:line="240" w:lineRule="auto"/>
            </w:pPr>
            <w:r>
              <w:rPr>
                <w:b/>
                <w:bCs/>
                <w:color w:val="14324F"/>
                <w:sz w:val="26"/>
                <w:szCs w:val="26"/>
              </w:rPr>
              <w:t xml:space="preserve">12 months</w:t>
            </w:r>
          </w:p>
        </w:tc>
        <w:tc>
          <w:tcPr>
            <w:tcW w:type="dxa" w:w="2100"/>
            <w:tcBorders>
              <w:top w:val="single" w:color="A85A14" w:sz="24"/>
              <w:left w:val="single" w:color="FFFFFF" w:sz="24"/>
              <w:bottom w:val="none" w:color="FFFFFF" w:sz="0"/>
              <w:right w:val="none" w:color="FFFFFF" w:sz="0"/>
            </w:tcBorders>
            <w:shd w:fill="F4F6F8" w:color="auto" w:val="clear"/>
            <w:tcMar>
              <w:top w:type="dxa" w:w="60"/>
              <w:left w:type="dxa" w:w="110"/>
              <w:bottom w:type="dxa" w:w="60"/>
              <w:right w:type="dxa" w:w="110"/>
            </w:tcMar>
          </w:tcPr>
          <w:p>
            <w:pPr>
              <w:spacing w:after="10" w:before="0" w:line="220" w:lineRule="auto"/>
            </w:pPr>
            <w:r>
              <w:rPr>
                <w:b/>
                <w:bCs/>
                <w:color w:val="A85A14"/>
                <w:spacing w:val="16"/>
                <w:sz w:val="14"/>
                <w:szCs w:val="14"/>
              </w:rPr>
              <w:t xml:space="preserve">REQUEST</w:t>
            </w:r>
          </w:p>
          <w:p>
            <w:pPr>
              <w:spacing w:after="0" w:before="0" w:line="240" w:lineRule="auto"/>
            </w:pPr>
            <w:r>
              <w:rPr>
                <w:b/>
                <w:bCs/>
                <w:color w:val="14324F"/>
                <w:sz w:val="26"/>
                <w:szCs w:val="26"/>
              </w:rPr>
              <w:t xml:space="preserve">$75,000</w:t>
            </w:r>
          </w:p>
          <w:p>
            <w:pPr>
              <w:spacing w:after="0" w:before="0" w:line="225" w:lineRule="auto"/>
            </w:pPr>
            <w:r>
              <w:rPr>
                <w:color w:val="52606D"/>
                <w:sz w:val="15"/>
                <w:szCs w:val="15"/>
              </w:rPr>
              <w:t xml:space="preserve">$50,000 Utah · $25,000 UNC</w:t>
            </w:r>
          </w:p>
        </w:tc>
      </w:tr>
    </w:tbl>
    <w:p>
      <w:pPr>
        <w:spacing w:after="0" w:before="0" w:line="70" w:lineRule="exact"/>
      </w:pPr>
      <w:r>
        <w:rPr>
          <w:sz w:val="2"/>
          <w:szCs w:val="2"/>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700"/>
        <w:gridCol w:w="2700"/>
        <w:gridCol w:w="2700"/>
      </w:tblGrid>
      <w:tr>
        <w:trPr>
          <w:cantSplit/>
        </w:trPr>
        <w:tc>
          <w:tcPr>
            <w:tcW w:type="dxa" w:w="2700"/>
            <w:tcBorders>
              <w:top w:val="single" w:color="14324F" w:sz="18"/>
              <w:left w:val="none" w:color="FFFFFF" w:sz="0"/>
              <w:bottom w:val="none" w:color="FFFFFF" w:sz="0"/>
              <w:right w:val="single" w:color="FFFFFF" w:sz="24"/>
            </w:tcBorders>
            <w:shd w:fill="F4F6F8" w:color="auto" w:val="clear"/>
            <w:tcMar>
              <w:top w:type="dxa" w:w="50"/>
              <w:left w:type="dxa" w:w="120"/>
              <w:bottom w:type="dxa" w:w="60"/>
              <w:right w:type="dxa" w:w="120"/>
            </w:tcMar>
          </w:tcPr>
          <w:p>
            <w:pPr>
              <w:spacing w:after="0" w:before="0" w:line="240" w:lineRule="auto"/>
            </w:pPr>
            <w:r>
              <w:rPr>
                <w:b/>
                <w:bCs/>
                <w:color w:val="14324F"/>
                <w:sz w:val="40"/>
                <w:szCs w:val="40"/>
              </w:rPr>
              <w:t xml:space="preserve">40–50%</w:t>
            </w:r>
          </w:p>
          <w:p>
            <w:pPr>
              <w:spacing w:after="0" w:before="0" w:line="225" w:lineRule="auto"/>
            </w:pPr>
            <w:r>
              <w:rPr>
                <w:color w:val="52606D"/>
                <w:sz w:val="16"/>
                <w:szCs w:val="16"/>
              </w:rPr>
              <w:t xml:space="preserve">of children’s malignant brain tumors grow reliably in a mouse brain, today’s most rigorous test</w:t>
            </w:r>
          </w:p>
        </w:tc>
        <w:tc>
          <w:tcPr>
            <w:tcW w:type="dxa" w:w="2700"/>
            <w:tcBorders>
              <w:top w:val="single" w:color="14324F" w:sz="18"/>
              <w:left w:val="single" w:color="FFFFFF" w:sz="24"/>
              <w:bottom w:val="none" w:color="FFFFFF" w:sz="0"/>
              <w:right w:val="single" w:color="FFFFFF" w:sz="24"/>
            </w:tcBorders>
            <w:shd w:fill="F4F6F8" w:color="auto" w:val="clear"/>
            <w:tcMar>
              <w:top w:type="dxa" w:w="50"/>
              <w:left w:type="dxa" w:w="120"/>
              <w:bottom w:type="dxa" w:w="60"/>
              <w:right w:type="dxa" w:w="120"/>
            </w:tcMar>
          </w:tcPr>
          <w:p>
            <w:pPr>
              <w:spacing w:after="0" w:before="0" w:line="240" w:lineRule="auto"/>
            </w:pPr>
            <w:r>
              <w:rPr>
                <w:b/>
                <w:bCs/>
                <w:color w:val="14324F"/>
                <w:sz w:val="40"/>
                <w:szCs w:val="40"/>
              </w:rPr>
              <w:t xml:space="preserve">4 days</w:t>
            </w:r>
          </w:p>
          <w:p>
            <w:pPr>
              <w:spacing w:after="0" w:before="0" w:line="225" w:lineRule="auto"/>
            </w:pPr>
            <w:r>
              <w:rPr>
                <w:color w:val="52606D"/>
                <w:sz w:val="16"/>
                <w:szCs w:val="16"/>
              </w:rPr>
              <w:t xml:space="preserve">for SLiCE to test a patient’s tumor on living brain tissue. Mouse studies take months.</w:t>
            </w:r>
          </w:p>
        </w:tc>
        <w:tc>
          <w:tcPr>
            <w:tcW w:type="dxa" w:w="2700"/>
            <w:tcBorders>
              <w:top w:val="single" w:color="14324F" w:sz="18"/>
              <w:left w:val="single" w:color="FFFFFF" w:sz="24"/>
              <w:bottom w:val="none" w:color="FFFFFF" w:sz="0"/>
              <w:right w:val="single" w:color="FFFFFF" w:sz="24"/>
            </w:tcBorders>
            <w:shd w:fill="F4F6F8" w:color="auto" w:val="clear"/>
            <w:tcMar>
              <w:top w:type="dxa" w:w="50"/>
              <w:left w:type="dxa" w:w="120"/>
              <w:bottom w:type="dxa" w:w="60"/>
              <w:right w:type="dxa" w:w="120"/>
            </w:tcMar>
          </w:tcPr>
          <w:p>
            <w:pPr>
              <w:spacing w:after="0" w:before="0" w:line="240" w:lineRule="auto"/>
            </w:pPr>
            <w:r>
              <w:rPr>
                <w:b/>
                <w:bCs/>
                <w:color w:val="14324F"/>
                <w:sz w:val="40"/>
                <w:szCs w:val="40"/>
              </w:rPr>
              <w:t xml:space="preserve">5 of 5</w:t>
            </w:r>
          </w:p>
          <w:p>
            <w:pPr>
              <w:spacing w:after="0" w:before="0" w:line="225" w:lineRule="auto"/>
            </w:pPr>
            <w:r>
              <w:rPr>
                <w:color w:val="52606D"/>
                <w:sz w:val="16"/>
                <w:szCs w:val="16"/>
              </w:rPr>
              <w:t xml:space="preserve">aggressive childhood brain-tumor types responded to anti-CD47 therapy in mouse studies</w:t>
            </w:r>
          </w:p>
        </w:tc>
        <w:tc>
          <w:tcPr>
            <w:tcW w:type="dxa" w:w="2700"/>
            <w:tcBorders>
              <w:top w:val="single" w:color="14324F" w:sz="18"/>
              <w:left w:val="single" w:color="FFFFFF" w:sz="24"/>
              <w:bottom w:val="none" w:color="FFFFFF" w:sz="0"/>
              <w:right w:val="none" w:color="FFFFFF" w:sz="0"/>
            </w:tcBorders>
            <w:shd w:fill="F4F6F8" w:color="auto" w:val="clear"/>
            <w:tcMar>
              <w:top w:type="dxa" w:w="50"/>
              <w:left w:type="dxa" w:w="120"/>
              <w:bottom w:type="dxa" w:w="60"/>
              <w:right w:type="dxa" w:w="120"/>
            </w:tcMar>
          </w:tcPr>
          <w:p>
            <w:pPr>
              <w:spacing w:after="0" w:before="0" w:line="240" w:lineRule="auto"/>
            </w:pPr>
            <w:r>
              <w:rPr>
                <w:b/>
                <w:bCs/>
                <w:color w:val="14324F"/>
                <w:sz w:val="40"/>
                <w:szCs w:val="40"/>
              </w:rPr>
              <w:t xml:space="preserve">~85%</w:t>
            </w:r>
          </w:p>
          <w:p>
            <w:pPr>
              <w:spacing w:after="0" w:before="0" w:line="225" w:lineRule="auto"/>
            </w:pPr>
            <w:r>
              <w:rPr>
                <w:color w:val="52606D"/>
                <w:sz w:val="16"/>
                <w:szCs w:val="16"/>
              </w:rPr>
              <w:t xml:space="preserve">less tumor-cell invasion with NG2-targeted macrophages in a patient-derived glioma model</w:t>
            </w:r>
          </w:p>
        </w:tc>
      </w:tr>
    </w:tbl>
    <w:p>
      <w:pPr>
        <w:spacing w:after="0" w:before="0" w:line="90" w:lineRule="exact"/>
      </w:pPr>
      <w:r>
        <w:rPr>
          <w:sz w:val="2"/>
          <w:szCs w:val="2"/>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800"/>
      </w:tblGrid>
      <w:tr>
        <w:trPr>
          <w:cantSplit/>
        </w:trPr>
        <w:tc>
          <w:tcPr>
            <w:tcW w:type="dxa" w:w="10800"/>
            <w:tcBorders>
              <w:top w:val="none" w:color="FFFFFF" w:sz="0"/>
              <w:left w:val="single" w:color="A85A14" w:sz="48"/>
              <w:bottom w:val="none" w:color="FFFFFF" w:sz="0"/>
              <w:right w:val="none" w:color="FFFFFF" w:sz="0"/>
            </w:tcBorders>
            <w:shd w:fill="FCEFDD" w:color="auto" w:val="clear"/>
            <w:tcMar>
              <w:top w:type="dxa" w:w="80"/>
              <w:left w:type="dxa" w:w="200"/>
              <w:bottom w:type="dxa" w:w="80"/>
              <w:right w:type="dxa" w:w="160"/>
            </w:tcMar>
          </w:tcPr>
          <w:p>
            <w:pPr>
              <w:spacing w:after="10" w:before="0" w:line="220" w:lineRule="auto"/>
            </w:pPr>
            <w:r>
              <w:rPr>
                <w:b/>
                <w:bCs/>
                <w:color w:val="A85A14"/>
                <w:spacing w:val="16"/>
                <w:sz w:val="14"/>
                <w:szCs w:val="14"/>
              </w:rPr>
              <w:t xml:space="preserve">THE BIG IDEA</w:t>
            </w:r>
          </w:p>
          <w:p>
            <w:pPr>
              <w:spacing w:after="0" w:before="0" w:line="250" w:lineRule="auto"/>
            </w:pPr>
            <w:r>
              <w:rPr>
                <w:sz w:val="21"/>
                <w:szCs w:val="21"/>
              </w:rPr>
              <w:t xml:space="preserve">For a child with a malignant brain tumor, there is no time to guess. Immunotherapy, which recruits the body’s own immune cells to destroy cancer, is among our most promising new tools. Yet doctors have no practical way to learn, before treatment, whether a particular child’s tumor will respond. We have a four-day test, called </w:t>
            </w:r>
            <w:r>
              <w:rPr>
                <w:b/>
                <w:bCs/>
                <w:sz w:val="21"/>
                <w:szCs w:val="21"/>
              </w:rPr>
              <w:t xml:space="preserve">SLiCE</w:t>
            </w:r>
            <w:r>
              <w:rPr>
                <w:sz w:val="21"/>
                <w:szCs w:val="21"/>
              </w:rPr>
              <w:t xml:space="preserve">, that grows patient tumors on slices of living brain. What it lacks is immune cells that can travel. </w:t>
            </w:r>
            <w:r>
              <w:rPr>
                <w:b/>
                <w:bCs/>
                <w:sz w:val="21"/>
                <w:szCs w:val="21"/>
              </w:rPr>
              <w:t xml:space="preserve">In 12 months, we will learn to freeze, ship and thaw macrophages, the immune system’s cleanup cells, so that hospitals can send a tumor to one central hub and receive an answer matched to that child.</w:t>
            </w:r>
          </w:p>
        </w:tc>
      </w:tr>
    </w:tbl>
    <w:p>
      <w:pPr>
        <w:pStyle w:val="Heading1"/>
      </w:pPr>
      <w:r>
        <w:t xml:space="preserve">Why this matters</w:t>
      </w:r>
    </w:p>
    <w:p>
      <w:pPr>
        <w:spacing w:after="70" w:before="0" w:line="250" w:lineRule="auto"/>
      </w:pPr>
      <w:r>
        <w:t xml:space="preserve">Malignant brain tumors cause more illness and death than any other childhood cancer.</w:t>
      </w:r>
      <w:r>
        <w:rPr>
          <w:vertAlign w:val="superscript"/>
        </w:rPr>
        <w:t xml:space="preserve">3</w:t>
      </w:r>
      <w:r>
        <w:t xml:space="preserve"> Many weave through healthy brain or sit where surgery is not possible. Radiation and chemotherapy can leave survivors with lifelong physical and intellectual disabilities and a higher risk of later cancers, and radiation often cannot be used in the youngest children. Children with the brainstem tumor DIPG usually live less than a year after diagnosis.</w:t>
      </w:r>
      <w:r>
        <w:rPr>
          <w:vertAlign w:val="superscript"/>
        </w:rPr>
        <w:t xml:space="preserve">3</w:t>
      </w:r>
      <w:r>
        <w:t xml:space="preserve"> Immunotherapy offers a smarter, gentler path, and macrophage-based treatments are already entering clinical trials. But early results have been mixed,</w:t>
      </w:r>
      <w:r>
        <w:rPr>
          <w:vertAlign w:val="superscript"/>
        </w:rPr>
        <w:t xml:space="preserve">5,6</w:t>
      </w:r>
      <w:r>
        <w:t xml:space="preserve"> and responses differ from tumor to tumor. </w:t>
      </w:r>
      <w:r>
        <w:rPr>
          <w:b/>
          <w:bCs/>
        </w:rPr>
        <w:t xml:space="preserve">Choosing the right immunotherapy for a child requires a test on that child’s own tumor.</w:t>
      </w:r>
    </w:p>
    <w:p>
      <w:pPr>
        <w:spacing w:after="40" w:before="0" w:line="250" w:lineRule="auto"/>
      </w:pPr>
      <w:r>
        <w:t xml:space="preserve">The most rigorous preclinical test is to implant a patient’s tumor into a mouse brain and treat the mouse. This work has been invaluable, but it takes months, is expensive, and works for only 40–50% of malignant childhood brain tumors; the rest will not grow reliably. Worse, mice that can grow human tumors lack a fully working immune system, so they cannot show whether an immunotherapy will work. For the treatments we most want to test, the gold standard falls short, and precision medicine is nearly out of reach.</w:t>
      </w:r>
    </w:p>
    <w:p>
      <w:pPr>
        <w:pStyle w:val="Heading1"/>
      </w:pPr>
      <w:r>
        <w:t xml:space="preserve">What we already have</w:t>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150"/>
        <w:gridCol w:w="3500"/>
        <w:gridCol w:w="150"/>
        <w:gridCol w:w="3500"/>
      </w:tblGrid>
      <w:tr>
        <w:trPr>
          <w:cantSplit/>
        </w:trPr>
        <w:tc>
          <w:tcPr>
            <w:tcW w:type="dxa" w:w="3500"/>
            <w:tcBorders>
              <w:top w:val="none" w:color="FFFFFF" w:sz="0"/>
              <w:left w:val="none" w:color="FFFFFF" w:sz="0"/>
              <w:bottom w:val="none" w:color="FFFFFF" w:sz="0"/>
              <w:right w:val="none" w:color="FFFFFF" w:sz="0"/>
            </w:tcBorders>
            <w:shd w:fill="17707E" w:color="auto" w:val="clear"/>
            <w:tcMar>
              <w:top w:type="dxa" w:w="55"/>
              <w:left w:type="dxa" w:w="120"/>
              <w:bottom w:type="dxa" w:w="55"/>
              <w:right w:type="dxa" w:w="120"/>
            </w:tcMar>
          </w:tcPr>
          <w:p>
            <w:pPr>
              <w:keepNext/>
              <w:spacing w:after="0" w:before="0" w:line="240" w:lineRule="auto"/>
            </w:pPr>
            <w:r>
              <w:rPr>
                <w:b/>
                <w:bCs/>
                <w:color w:val="FFFFFF"/>
                <w:sz w:val="20"/>
                <w:szCs w:val="20"/>
              </w:rPr>
              <w:t xml:space="preserve">1 · A four-day test on living brain</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none" w:color="FFFFFF" w:sz="0"/>
              <w:left w:val="none" w:color="FFFFFF" w:sz="0"/>
              <w:bottom w:val="none" w:color="FFFFFF" w:sz="0"/>
              <w:right w:val="none" w:color="FFFFFF" w:sz="0"/>
            </w:tcBorders>
            <w:shd w:fill="14324F" w:color="auto" w:val="clear"/>
            <w:tcMar>
              <w:top w:type="dxa" w:w="55"/>
              <w:left w:type="dxa" w:w="120"/>
              <w:bottom w:type="dxa" w:w="55"/>
              <w:right w:type="dxa" w:w="120"/>
            </w:tcMar>
          </w:tcPr>
          <w:p>
            <w:pPr>
              <w:keepNext/>
              <w:spacing w:after="0" w:before="0" w:line="240" w:lineRule="auto"/>
            </w:pPr>
            <w:r>
              <w:rPr>
                <w:b/>
                <w:bCs/>
                <w:color w:val="FFFFFF"/>
                <w:sz w:val="20"/>
                <w:szCs w:val="20"/>
              </w:rPr>
              <w:t xml:space="preserve">2 · Release the brake</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none" w:color="FFFFFF" w:sz="0"/>
              <w:left w:val="none" w:color="FFFFFF" w:sz="0"/>
              <w:bottom w:val="none" w:color="FFFFFF" w:sz="0"/>
              <w:right w:val="none" w:color="FFFFFF" w:sz="0"/>
            </w:tcBorders>
            <w:shd w:fill="14324F" w:color="auto" w:val="clear"/>
            <w:tcMar>
              <w:top w:type="dxa" w:w="55"/>
              <w:left w:type="dxa" w:w="120"/>
              <w:bottom w:type="dxa" w:w="55"/>
              <w:right w:type="dxa" w:w="120"/>
            </w:tcMar>
          </w:tcPr>
          <w:p>
            <w:pPr>
              <w:keepNext/>
              <w:spacing w:after="0" w:before="0" w:line="240" w:lineRule="auto"/>
            </w:pPr>
            <w:r>
              <w:rPr>
                <w:b/>
                <w:bCs/>
                <w:color w:val="FFFFFF"/>
                <w:sz w:val="20"/>
                <w:szCs w:val="20"/>
              </w:rPr>
              <w:t xml:space="preserve">3 · Add a homing device</w:t>
            </w:r>
          </w:p>
        </w:tc>
      </w:tr>
      <w:tr>
        <w:trPr>
          <w:cantSplit/>
        </w:trPr>
        <w:tc>
          <w:tcPr>
            <w:tcW w:type="dxa" w:w="3500"/>
            <w:tcBorders>
              <w:top w:val="none" w:color="FFFFFF" w:sz="0"/>
              <w:left w:val="none" w:color="FFFFFF" w:sz="0"/>
              <w:bottom w:val="none" w:color="FFFFFF" w:sz="0"/>
              <w:right w:val="none" w:color="FFFFFF" w:sz="0"/>
            </w:tcBorders>
            <w:shd w:fill="E5F2F4" w:color="auto" w:val="clear"/>
            <w:tcMar>
              <w:top w:type="dxa" w:w="70"/>
              <w:left w:type="dxa" w:w="120"/>
              <w:bottom w:type="dxa" w:w="70"/>
              <w:right w:type="dxa" w:w="120"/>
            </w:tcMar>
          </w:tcPr>
          <w:p>
            <w:pPr>
              <w:spacing w:after="40" w:before="0" w:line="240" w:lineRule="auto"/>
            </w:pPr>
            <w:r>
              <w:rPr>
                <w:sz w:val="18"/>
                <w:szCs w:val="18"/>
              </w:rPr>
              <w:t xml:space="preserve">Dr. Satterlee’s </w:t>
            </w:r>
            <w:r>
              <w:rPr>
                <w:b/>
                <w:bCs/>
                <w:sz w:val="18"/>
                <w:szCs w:val="18"/>
              </w:rPr>
              <w:t xml:space="preserve">SLiCE</w:t>
            </w:r>
            <w:r>
              <w:rPr>
                <w:sz w:val="18"/>
                <w:szCs w:val="18"/>
              </w:rPr>
              <w:t xml:space="preserve"> platform (Screening Live Cancer Explants) places a patient’s tumor on a slice of living brain and tracks its response to treatment for four days, measuring both tumor killing and harm to normal brain tissue. In a first study of childhood low-grade glioma, tumor tissue survived </w:t>
            </w:r>
            <w:r>
              <w:rPr>
                <w:b/>
                <w:bCs/>
                <w:sz w:val="18"/>
                <w:szCs w:val="18"/>
              </w:rPr>
              <w:t xml:space="preserve">43 times better</w:t>
            </w:r>
            <w:r>
              <w:rPr>
                <w:sz w:val="18"/>
                <w:szCs w:val="18"/>
              </w:rPr>
              <w:t xml:space="preserve"> on brain slices than in a standard lab dish, and tumors differed in how they responded to drugs, as in real patients.</w:t>
            </w:r>
            <w:r>
              <w:rPr>
                <w:sz w:val="18"/>
                <w:szCs w:val="18"/>
                <w:vertAlign w:val="superscript"/>
              </w:rPr>
              <w:t xml:space="preserve">1,2</w:t>
            </w:r>
            <w:r>
              <w:rPr>
                <w:sz w:val="18"/>
                <w:szCs w:val="18"/>
              </w:rPr>
              <w:t xml:space="preserve"> SLiCE has also measured killing of tumor cells by immune T cells.</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none" w:color="FFFFFF" w:sz="0"/>
              <w:left w:val="none" w:color="FFFFFF" w:sz="0"/>
              <w:bottom w:val="none" w:color="FFFFFF" w:sz="0"/>
              <w:right w:val="none" w:color="FFFFFF" w:sz="0"/>
            </w:tcBorders>
            <w:shd w:fill="E8EEF4" w:color="auto" w:val="clear"/>
            <w:tcMar>
              <w:top w:type="dxa" w:w="70"/>
              <w:left w:type="dxa" w:w="120"/>
              <w:bottom w:type="dxa" w:w="70"/>
              <w:right w:type="dxa" w:w="120"/>
            </w:tcMar>
          </w:tcPr>
          <w:p>
            <w:pPr>
              <w:spacing w:after="40" w:before="0" w:line="240" w:lineRule="auto"/>
            </w:pPr>
            <w:r>
              <w:rPr>
                <w:b/>
                <w:bCs/>
                <w:sz w:val="18"/>
                <w:szCs w:val="18"/>
              </w:rPr>
              <w:t xml:space="preserve">Macrophages</w:t>
            </w:r>
            <w:r>
              <w:rPr>
                <w:sz w:val="18"/>
                <w:szCs w:val="18"/>
              </w:rPr>
              <w:t xml:space="preserve"> are immune “eater” cells. Tumors wear a “don’t eat me” flag called CD47; an antibody that blocks it switches macrophages on. In mice, this reduced tumor burden and extended survival in all five aggressive childhood brain-tumor types tested, sparing normal human neural cells.</w:t>
            </w:r>
            <w:r>
              <w:rPr>
                <w:sz w:val="18"/>
                <w:szCs w:val="18"/>
                <w:vertAlign w:val="superscript"/>
              </w:rPr>
              <w:t xml:space="preserve">3</w:t>
            </w:r>
          </w:p>
          <w:p>
            <w:pPr>
              <w:spacing w:after="40" w:before="0" w:line="240" w:lineRule="auto"/>
            </w:pPr>
            <w:r>
              <w:rPr>
                <w:sz w:val="18"/>
                <w:szCs w:val="18"/>
              </w:rPr>
              <w:t xml:space="preserve">In new work, </w:t>
            </w:r>
            <w:r>
              <w:rPr>
                <w:b/>
                <w:bCs/>
                <w:sz w:val="18"/>
                <w:szCs w:val="18"/>
              </w:rPr>
              <w:t xml:space="preserve">macrophages from newborn cord blood ate more medulloblastoma cells than adult macrophages when the antibody was added</w:t>
            </w:r>
            <w:r>
              <w:rPr>
                <w:sz w:val="18"/>
                <w:szCs w:val="18"/>
              </w:rPr>
              <w:t xml:space="preserve">, in all three cell lines tested.</w:t>
            </w:r>
            <w:r>
              <w:rPr>
                <w:sz w:val="18"/>
                <w:szCs w:val="18"/>
                <w:vertAlign w:val="superscript"/>
              </w:rPr>
              <w:t xml:space="preserve">4</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none" w:color="FFFFFF" w:sz="0"/>
              <w:left w:val="none" w:color="FFFFFF" w:sz="0"/>
              <w:bottom w:val="none" w:color="FFFFFF" w:sz="0"/>
              <w:right w:val="none" w:color="FFFFFF" w:sz="0"/>
            </w:tcBorders>
            <w:shd w:fill="E8EEF4" w:color="auto" w:val="clear"/>
            <w:tcMar>
              <w:top w:type="dxa" w:w="70"/>
              <w:left w:type="dxa" w:w="120"/>
              <w:bottom w:type="dxa" w:w="70"/>
              <w:right w:type="dxa" w:w="120"/>
            </w:tcMar>
          </w:tcPr>
          <w:p>
            <w:pPr>
              <w:spacing w:after="40" w:before="0" w:line="240" w:lineRule="auto"/>
            </w:pPr>
            <w:r>
              <w:rPr>
                <w:sz w:val="18"/>
                <w:szCs w:val="18"/>
              </w:rPr>
              <w:t xml:space="preserve">We engineered macrophages with a synthetic receptor (a </w:t>
            </w:r>
            <w:r>
              <w:rPr>
                <w:b/>
                <w:bCs/>
                <w:sz w:val="18"/>
                <w:szCs w:val="18"/>
              </w:rPr>
              <w:t xml:space="preserve">CAR</w:t>
            </w:r>
            <w:r>
              <w:rPr>
                <w:sz w:val="18"/>
                <w:szCs w:val="18"/>
              </w:rPr>
              <w:t xml:space="preserve">) that locks onto </w:t>
            </w:r>
            <w:r>
              <w:rPr>
                <w:b/>
                <w:bCs/>
                <w:sz w:val="18"/>
                <w:szCs w:val="18"/>
              </w:rPr>
              <w:t xml:space="preserve">NG2</w:t>
            </w:r>
            <w:r>
              <w:rPr>
                <w:sz w:val="18"/>
                <w:szCs w:val="18"/>
              </w:rPr>
              <w:t xml:space="preserve">, a protein on many gliomas. In 3D lab models, they ate glioma cells, </w:t>
            </w:r>
            <w:r>
              <w:rPr>
                <w:b/>
                <w:bCs/>
                <w:sz w:val="18"/>
                <w:szCs w:val="18"/>
              </w:rPr>
              <w:t xml:space="preserve">shrank glioblastoma mini-tumors by about 75%</w:t>
            </w:r>
            <w:r>
              <w:rPr>
                <w:sz w:val="18"/>
                <w:szCs w:val="18"/>
              </w:rPr>
              <w:t xml:space="preserve"> and </w:t>
            </w:r>
            <w:r>
              <w:rPr>
                <w:b/>
                <w:bCs/>
                <w:sz w:val="18"/>
                <w:szCs w:val="18"/>
              </w:rPr>
              <w:t xml:space="preserve">blocked about 85% of invasion</w:t>
            </w:r>
            <w:r>
              <w:rPr>
                <w:sz w:val="18"/>
                <w:szCs w:val="18"/>
              </w:rPr>
              <w:t xml:space="preserve"> by patient-derived tumor cells, leaving NG2-low cells alone.</w:t>
            </w:r>
            <w:r>
              <w:rPr>
                <w:sz w:val="18"/>
                <w:szCs w:val="18"/>
                <w:vertAlign w:val="superscript"/>
              </w:rPr>
              <w:t xml:space="preserve">5</w:t>
            </w:r>
          </w:p>
          <w:p>
            <w:pPr>
              <w:spacing w:after="40" w:before="0" w:line="240" w:lineRule="auto"/>
            </w:pPr>
            <w:r>
              <w:rPr>
                <w:sz w:val="18"/>
                <w:szCs w:val="18"/>
              </w:rPr>
              <w:t xml:space="preserve">The same approach against the same target (CSPG4) slowed melanoma growth in mice,</w:t>
            </w:r>
            <w:r>
              <w:rPr>
                <w:sz w:val="18"/>
                <w:szCs w:val="18"/>
                <w:vertAlign w:val="superscript"/>
              </w:rPr>
              <w:t xml:space="preserve">6</w:t>
            </w:r>
            <w:r>
              <w:rPr>
                <w:sz w:val="18"/>
                <w:szCs w:val="18"/>
              </w:rPr>
              <w:t xml:space="preserve"> and CAR macrophages were safe in early human trials in other cancers.</w:t>
            </w:r>
            <w:r>
              <w:rPr>
                <w:sz w:val="18"/>
                <w:szCs w:val="18"/>
                <w:vertAlign w:val="superscript"/>
              </w:rPr>
              <w:t xml:space="preserve">5</w:t>
            </w:r>
          </w:p>
        </w:tc>
      </w:tr>
    </w:tbl>
    <w:p>
      <w:pPr>
        <w:spacing w:after="40" w:before="80" w:line="250" w:lineRule="auto"/>
      </w:pPr>
      <w:r>
        <w:rPr>
          <w:b/>
          <w:bCs/>
        </w:rPr>
        <w:t xml:space="preserve">The catch:</w:t>
      </w:r>
      <w:r>
        <w:t xml:space="preserve"> these tools have mostly been tested in dishes and in mice without a working immune system, not on a child’s own tumor in SLiCE. And freshly made donor macrophages vary and cannot yet be frozen and shipped.</w:t>
      </w:r>
    </w:p>
    <w:p>
      <w:pPr>
        <w:pStyle w:val="Heading1"/>
      </w:pPr>
      <w:r>
        <w:t xml:space="preserve">The missing piece: immune cells that can travel</w:t>
      </w:r>
    </w:p>
    <w:p>
      <w:pPr>
        <w:spacing w:after="50" w:before="0" w:line="250" w:lineRule="auto"/>
      </w:pPr>
      <w:r>
        <w:t xml:space="preserve">SLiCE is robust, but it is hard to recreate at every hospital. So we propose a </w:t>
      </w:r>
      <w:r>
        <w:rPr>
          <w:b/>
          <w:bCs/>
        </w:rPr>
        <w:t xml:space="preserve">hub-and-spoke network</w:t>
      </w:r>
      <w:r>
        <w:t xml:space="preserve">: partner hospitals send tumors to UNC, where experts run SLiCE, and receive results. Tumors are solved, because we already know how to preserve living tumor tissue for shipping. Immune cells are not: preserving viable macrophages for use in SLiCE has not yet been established. Until it is, an immunotherapy testing network cannot exist. </w:t>
      </w:r>
      <w:r>
        <w:rPr>
          <w:b/>
          <w:bCs/>
        </w:rPr>
        <w:t xml:space="preserve">This project solves it.</w:t>
      </w:r>
    </w:p>
    <w:p>
      <w:pPr>
        <w:keepNext/>
        <w:spacing w:after="20" w:before="0" w:line="240" w:lineRule="auto"/>
        <w:jc w:val="center"/>
      </w:pPr>
      <w:r>
        <w:drawing>
          <wp:inline distT="0" distB="0" distL="0" distR="0">
            <wp:extent cx="6667500" cy="1409700"/>
            <wp:effectExtent t="0" r="0" b="0" l="0"/>
            <wp:docPr id="1" name="Network diagram" descr="Flow diagram. A frozen patient tumor from any partner hospital (already solved) and frozen macrophages (this project) both travel to the SLiCE hub at UNC Chapel Hill, a four-day test on living brain slices. The answer is whether the tumor is killed, whether healthy brain is spared, and the best-matched immunotherapy for each child." title="Figure 1: the network we are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1409700"/>
                    </a:xfrm>
                    <a:prstGeom prst="rect">
                      <a:avLst/>
                    </a:prstGeom>
                  </pic:spPr>
                </pic:pic>
              </a:graphicData>
            </a:graphic>
          </wp:inline>
        </w:drawing>
      </w:r>
    </w:p>
    <w:p>
      <w:pPr>
        <w:spacing w:after="40" w:before="0" w:line="230" w:lineRule="auto"/>
        <w:jc w:val="center"/>
      </w:pPr>
      <w:r>
        <w:rPr>
          <w:b/>
          <w:bCs/>
          <w:color w:val="52606D"/>
          <w:sz w:val="17"/>
          <w:szCs w:val="17"/>
        </w:rPr>
        <w:t xml:space="preserve">Figure 1. The network we are building.</w:t>
      </w:r>
      <w:r>
        <w:rPr>
          <w:color w:val="52606D"/>
          <w:sz w:val="17"/>
          <w:szCs w:val="17"/>
        </w:rPr>
        <w:t xml:space="preserve"> Frozen tumors can already travel to the hub; this project makes frozen macrophages travel-ready.</w:t>
      </w:r>
    </w:p>
    <w:p>
      <w:pPr>
        <w:pStyle w:val="Heading1"/>
      </w:pPr>
      <w:r>
        <w:t xml:space="preserve">Aims and approach</w:t>
      </w:r>
    </w:p>
    <w:p>
      <w:pPr>
        <w:spacing w:after="60" w:before="0" w:line="250" w:lineRule="auto"/>
      </w:pPr>
      <w:r>
        <w:t xml:space="preserve">Both aims use pediatric hemispheric high-grade glioma (pHGG), a fast-growing tumor of the brain’s upper hemispheres, and follow the same two steps: find the best freezing recipe, then prove it works after a real shipment.</w:t>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200"/>
        <w:gridCol w:w="5300"/>
      </w:tblGrid>
      <w:tr>
        <w:trPr>
          <w:cantSplit/>
        </w:trPr>
        <w:tc>
          <w:tcPr>
            <w:tcW w:type="dxa" w:w="5300"/>
            <w:tcBorders>
              <w:top w:val="none" w:color="FFFFFF" w:sz="0"/>
              <w:left w:val="none" w:color="FFFFFF" w:sz="0"/>
              <w:bottom w:val="none" w:color="FFFFFF" w:sz="0"/>
              <w:right w:val="none" w:color="FFFFFF" w:sz="0"/>
            </w:tcBorders>
            <w:shd w:fill="A85A14" w:color="auto" w:val="clear"/>
            <w:tcMar>
              <w:top w:type="dxa" w:w="60"/>
              <w:left w:type="dxa" w:w="130"/>
              <w:bottom w:type="dxa" w:w="60"/>
              <w:right w:type="dxa" w:w="130"/>
            </w:tcMar>
          </w:tcPr>
          <w:p>
            <w:pPr>
              <w:keepNext/>
              <w:spacing w:after="0" w:before="0" w:line="240" w:lineRule="auto"/>
            </w:pPr>
            <w:r>
              <w:rPr>
                <w:b/>
                <w:bCs/>
                <w:color w:val="FFFFFF"/>
                <w:sz w:val="20"/>
                <w:szCs w:val="20"/>
              </w:rPr>
              <w:t xml:space="preserve">AIM 1 · Normal macrophages: newborn cord blood vs. adult</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5300"/>
            <w:tcBorders>
              <w:top w:val="none" w:color="FFFFFF" w:sz="0"/>
              <w:left w:val="none" w:color="FFFFFF" w:sz="0"/>
              <w:bottom w:val="none" w:color="FFFFFF" w:sz="0"/>
              <w:right w:val="none" w:color="FFFFFF" w:sz="0"/>
            </w:tcBorders>
            <w:shd w:fill="A85A14" w:color="auto" w:val="clear"/>
            <w:tcMar>
              <w:top w:type="dxa" w:w="60"/>
              <w:left w:type="dxa" w:w="130"/>
              <w:bottom w:type="dxa" w:w="60"/>
              <w:right w:type="dxa" w:w="130"/>
            </w:tcMar>
          </w:tcPr>
          <w:p>
            <w:pPr>
              <w:keepNext/>
              <w:spacing w:after="0" w:before="0" w:line="240" w:lineRule="auto"/>
            </w:pPr>
            <w:r>
              <w:rPr>
                <w:b/>
                <w:bCs/>
                <w:color w:val="FFFFFF"/>
                <w:sz w:val="20"/>
                <w:szCs w:val="20"/>
              </w:rPr>
              <w:t xml:space="preserve">AIM 2 · Engineered macrophages: NG2-targeted CAR</w:t>
            </w:r>
          </w:p>
        </w:tc>
      </w:tr>
      <w:tr>
        <w:trPr>
          <w:cantSplit/>
        </w:trPr>
        <w:tc>
          <w:tcPr>
            <w:tcW w:type="dxa" w:w="5300"/>
            <w:tcBorders>
              <w:top w:val="none" w:color="FFFFFF" w:sz="0"/>
              <w:left w:val="none" w:color="FFFFFF" w:sz="0"/>
              <w:bottom w:val="none" w:color="FFFFFF" w:sz="0"/>
              <w:right w:val="none" w:color="FFFFFF" w:sz="0"/>
            </w:tcBorders>
            <w:shd w:fill="FCEFDD" w:color="auto" w:val="clear"/>
            <w:tcMar>
              <w:top w:type="dxa" w:w="80"/>
              <w:left w:type="dxa" w:w="130"/>
              <w:bottom w:type="dxa" w:w="70"/>
              <w:right w:type="dxa" w:w="130"/>
            </w:tcMar>
          </w:tcPr>
          <w:p>
            <w:pPr>
              <w:spacing w:after="55" w:before="0" w:line="245" w:lineRule="auto"/>
            </w:pPr>
            <w:r>
              <w:rPr>
                <w:b/>
                <w:bCs/>
                <w:color w:val="14324F"/>
                <w:sz w:val="19"/>
                <w:szCs w:val="19"/>
              </w:rPr>
              <w:t xml:space="preserve">Freeze, thaw and ship macrophages without losing their appetite for tumor.</w:t>
            </w:r>
          </w:p>
          <w:p>
            <w:pPr>
              <w:spacing w:after="55" w:before="0" w:line="245" w:lineRule="auto"/>
            </w:pPr>
            <w:r>
              <w:rPr>
                <w:b/>
                <w:bCs/>
                <w:sz w:val="19"/>
                <w:szCs w:val="19"/>
              </w:rPr>
              <w:t xml:space="preserve">1.1 Find the best freezing recipe.</w:t>
            </w:r>
            <w:r>
              <w:rPr>
                <w:sz w:val="19"/>
                <w:szCs w:val="19"/>
              </w:rPr>
              <w:t xml:space="preserve"> We will make macrophages from cord blood and adult blood and freeze them under many conditions: freezing solutions (including the one that already preserves tumor tissue), cell concentrations, freezing speeds and cell maturity. After thawing, we will count surviving cells and test whether they still eat pHGG cells in a standard tumor-eating (phagocytosis) test, with and without anti-CD47, compared with fresh cells from the same donor.</w:t>
            </w:r>
          </w:p>
          <w:p>
            <w:pPr>
              <w:spacing w:after="55" w:before="0" w:line="245" w:lineRule="auto"/>
            </w:pPr>
            <w:r>
              <w:rPr>
                <w:b/>
                <w:bCs/>
                <w:sz w:val="19"/>
                <w:szCs w:val="19"/>
              </w:rPr>
              <w:t xml:space="preserve">1.2 Ship and test in SLiCE.</w:t>
            </w:r>
            <w:r>
              <w:rPr>
                <w:sz w:val="19"/>
                <w:szCs w:val="19"/>
              </w:rPr>
              <w:t xml:space="preserve"> The best frozen cells will travel from Utah to UNC in liquid-nitrogen shipping containers with temperature monitors, then be thawed and added to brain slices carrying pHGG tissue. SLiCE will report tumor killing and any harm to normal brain tissue, and answer the key question: </w:t>
            </w:r>
            <w:r>
              <w:rPr>
                <w:i/>
                <w:iCs/>
                <w:sz w:val="19"/>
                <w:szCs w:val="19"/>
              </w:rPr>
              <w:t xml:space="preserve">do cord-blood macrophages still outperform adult macrophages after freezing and shipping?</w:t>
            </w:r>
            <w:r>
              <w:rPr>
                <w:sz w:val="19"/>
                <w:szCs w:val="19"/>
              </w:rPr>
              <w:t xml:space="preserve"> The same frozen batch will also be tested in Utah as a cross-site check.</w:t>
            </w:r>
          </w:p>
          <w:p>
            <w:pPr>
              <w:spacing w:after="0" w:before="0" w:line="245" w:lineRule="auto"/>
            </w:pPr>
            <w:r>
              <w:rPr>
                <w:b/>
                <w:bCs/>
                <w:color w:val="A85A14"/>
                <w:sz w:val="19"/>
                <w:szCs w:val="19"/>
              </w:rPr>
              <w:t xml:space="preserve">Success =</w:t>
            </w:r>
            <w:r>
              <w:rPr>
                <w:color w:val="A85A14"/>
                <w:sz w:val="19"/>
                <w:szCs w:val="19"/>
              </w:rPr>
              <w:t xml:space="preserve"> at least 70% of cells alive after thawing; at least 75% of fresh-cell tumor-eating activity; cord-blood advantage preserved; matching results at both sites.</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5300"/>
            <w:tcBorders>
              <w:top w:val="none" w:color="FFFFFF" w:sz="0"/>
              <w:left w:val="none" w:color="FFFFFF" w:sz="0"/>
              <w:bottom w:val="none" w:color="FFFFFF" w:sz="0"/>
              <w:right w:val="none" w:color="FFFFFF" w:sz="0"/>
            </w:tcBorders>
            <w:shd w:fill="FCEFDD" w:color="auto" w:val="clear"/>
            <w:tcMar>
              <w:top w:type="dxa" w:w="80"/>
              <w:left w:type="dxa" w:w="130"/>
              <w:bottom w:type="dxa" w:w="70"/>
              <w:right w:type="dxa" w:w="130"/>
            </w:tcMar>
          </w:tcPr>
          <w:p>
            <w:pPr>
              <w:spacing w:after="55" w:before="0" w:line="245" w:lineRule="auto"/>
            </w:pPr>
            <w:r>
              <w:rPr>
                <w:b/>
                <w:bCs/>
                <w:color w:val="14324F"/>
                <w:sz w:val="19"/>
                <w:szCs w:val="19"/>
              </w:rPr>
              <w:t xml:space="preserve">Freeze, thaw and ship engineered macrophages that hunt NG2-positive tumor.</w:t>
            </w:r>
          </w:p>
          <w:p>
            <w:pPr>
              <w:spacing w:after="55" w:before="0" w:line="245" w:lineRule="auto"/>
            </w:pPr>
            <w:r>
              <w:rPr>
                <w:b/>
                <w:bCs/>
                <w:sz w:val="19"/>
                <w:szCs w:val="19"/>
              </w:rPr>
              <w:t xml:space="preserve">2.1 Find the recipe for engineered cells.</w:t>
            </w:r>
            <w:r>
              <w:rPr>
                <w:sz w:val="19"/>
                <w:szCs w:val="19"/>
              </w:rPr>
              <w:t xml:space="preserve"> Genetically engineered macrophages may be more fragile. We will repeat the freezing tests with NG2-targeted macrophages, checking after thawing that the cells are alive, still carry the NG2-targeting receptor, and still eat NG2-positive pHGG cells while sparing NG2-low cells. Non-engineered macrophages serve as controls.</w:t>
            </w:r>
          </w:p>
          <w:p>
            <w:pPr>
              <w:spacing w:after="55" w:before="0" w:line="245" w:lineRule="auto"/>
            </w:pPr>
            <w:r>
              <w:rPr>
                <w:b/>
                <w:bCs/>
                <w:sz w:val="19"/>
                <w:szCs w:val="19"/>
              </w:rPr>
              <w:t xml:space="preserve">2.2 Ship and test in SLiCE.</w:t>
            </w:r>
            <w:r>
              <w:rPr>
                <w:sz w:val="19"/>
                <w:szCs w:val="19"/>
              </w:rPr>
              <w:t xml:space="preserve"> Shipped NG2-targeted macrophages will be tested on pHGG tissue with high versus low NG2. SLiCE will show whether killing is selective for NG2-positive tumor and whether normal brain tissue is spared.</w:t>
            </w:r>
          </w:p>
          <w:p>
            <w:pPr>
              <w:spacing w:after="55" w:before="0" w:line="245" w:lineRule="auto"/>
            </w:pPr>
            <w:r>
              <w:rPr>
                <w:b/>
                <w:bCs/>
                <w:sz w:val="19"/>
                <w:szCs w:val="19"/>
              </w:rPr>
              <w:t xml:space="preserve">Why it matters:</w:t>
            </w:r>
            <w:r>
              <w:rPr>
                <w:sz w:val="19"/>
                <w:szCs w:val="19"/>
              </w:rPr>
              <w:t xml:space="preserve"> NG2 levels vary from tumor to tumor. A ready-to-ship engineered cell lets SLiCE ask whether a particular child’s tumor has enough NG2 to respond, before any cell therapy is made for that child.</w:t>
            </w:r>
          </w:p>
          <w:p>
            <w:pPr>
              <w:spacing w:after="0" w:before="0" w:line="245" w:lineRule="auto"/>
            </w:pPr>
            <w:r>
              <w:rPr>
                <w:b/>
                <w:bCs/>
                <w:color w:val="A85A14"/>
                <w:sz w:val="19"/>
                <w:szCs w:val="19"/>
              </w:rPr>
              <w:t xml:space="preserve">Success =</w:t>
            </w:r>
            <w:r>
              <w:rPr>
                <w:color w:val="A85A14"/>
                <w:sz w:val="19"/>
                <w:szCs w:val="19"/>
              </w:rPr>
              <w:t xml:space="preserve"> the same survival and activity targets, the receptor retained, and stronger killing of NG2-high than NG2-low tumor.</w:t>
            </w:r>
          </w:p>
        </w:tc>
      </w:tr>
    </w:tbl>
    <w:p>
      <w:pPr>
        <w:pStyle w:val="Heading1"/>
      </w:pPr>
      <w:r>
        <w:t xml:space="preserve">Rigor and risk management</w:t>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7500"/>
      </w:tblGrid>
      <w:tr>
        <w:trPr>
          <w:cantSplit/>
          <w:tblHeader/>
        </w:trPr>
        <w:tc>
          <w:tcPr>
            <w:tcW w:type="dxa" w:w="3300"/>
            <w:tcBorders>
              <w:top w:val="none" w:color="FFFFFF" w:sz="0"/>
              <w:left w:val="none" w:color="FFFFFF" w:sz="0"/>
              <w:bottom w:val="none" w:color="FFFFFF" w:sz="0"/>
              <w:right w:val="none" w:color="FFFFFF" w:sz="0"/>
            </w:tcBorders>
            <w:shd w:fill="14324F" w:color="auto" w:val="clear"/>
            <w:tcMar>
              <w:top w:type="dxa" w:w="40"/>
              <w:left w:type="dxa" w:w="110"/>
              <w:bottom w:type="dxa" w:w="40"/>
              <w:right w:type="dxa" w:w="110"/>
            </w:tcMar>
          </w:tcPr>
          <w:p>
            <w:pPr>
              <w:keepNext/>
              <w:spacing w:after="0" w:before="0" w:line="240" w:lineRule="auto"/>
            </w:pPr>
            <w:r>
              <w:rPr>
                <w:b/>
                <w:bCs/>
                <w:color w:val="FFFFFF"/>
                <w:sz w:val="17"/>
                <w:szCs w:val="17"/>
              </w:rPr>
              <w:t xml:space="preserve">If this happens…</w:t>
            </w:r>
          </w:p>
        </w:tc>
        <w:tc>
          <w:tcPr>
            <w:tcW w:type="dxa" w:w="7500"/>
            <w:tcBorders>
              <w:top w:val="none" w:color="FFFFFF" w:sz="0"/>
              <w:left w:val="none" w:color="FFFFFF" w:sz="0"/>
              <w:bottom w:val="none" w:color="FFFFFF" w:sz="0"/>
              <w:right w:val="none" w:color="FFFFFF" w:sz="0"/>
            </w:tcBorders>
            <w:shd w:fill="14324F" w:color="auto" w:val="clear"/>
            <w:tcMar>
              <w:top w:type="dxa" w:w="40"/>
              <w:left w:type="dxa" w:w="110"/>
              <w:bottom w:type="dxa" w:w="40"/>
              <w:right w:type="dxa" w:w="110"/>
            </w:tcMar>
          </w:tcPr>
          <w:p>
            <w:pPr>
              <w:keepNext/>
              <w:spacing w:after="0" w:before="0" w:line="240" w:lineRule="auto"/>
            </w:pPr>
            <w:r>
              <w:rPr>
                <w:b/>
                <w:bCs/>
                <w:color w:val="FFFFFF"/>
                <w:sz w:val="17"/>
                <w:szCs w:val="17"/>
              </w:rPr>
              <w:t xml:space="preserve">…we will</w:t>
            </w:r>
          </w:p>
        </w:tc>
      </w:tr>
      <w:tr>
        <w:trPr>
          <w:cantSplit/>
        </w:trPr>
        <w:tc>
          <w:tcPr>
            <w:tcW w:type="dxa" w:w="3300"/>
            <w:tcBorders>
              <w:top w:val="none" w:color="FFFFFF" w:sz="0"/>
              <w:left w:val="none" w:color="FFFFFF" w:sz="0"/>
              <w:bottom w:val="none" w:color="FFFFFF" w:sz="0"/>
              <w:right w:val="none" w:color="FFFFFF" w:sz="0"/>
            </w:tcBorders>
            <w:shd w:fill="F4F6F8" w:color="auto" w:val="clear"/>
            <w:tcMar>
              <w:top w:type="dxa" w:w="40"/>
              <w:left w:type="dxa" w:w="110"/>
              <w:bottom w:type="dxa" w:w="40"/>
              <w:right w:type="dxa" w:w="110"/>
            </w:tcMar>
          </w:tcPr>
          <w:p>
            <w:pPr>
              <w:spacing w:after="0" w:before="0" w:line="235" w:lineRule="auto"/>
            </w:pPr>
            <w:r>
              <w:rPr>
                <w:b/>
                <w:bCs/>
                <w:sz w:val="18"/>
                <w:szCs w:val="18"/>
              </w:rPr>
              <w:t xml:space="preserve">Macrophages are delicate and may not survive freezing.</w:t>
            </w:r>
          </w:p>
        </w:tc>
        <w:tc>
          <w:tcPr>
            <w:tcW w:type="dxa" w:w="7500"/>
            <w:tcBorders>
              <w:top w:val="none" w:color="FFFFFF" w:sz="0"/>
              <w:left w:val="none" w:color="FFFFFF" w:sz="0"/>
              <w:bottom w:val="none" w:color="FFFFFF" w:sz="0"/>
              <w:right w:val="none" w:color="FFFFFF" w:sz="0"/>
            </w:tcBorders>
            <w:shd w:fill="F4F6F8" w:color="auto" w:val="clear"/>
            <w:tcMar>
              <w:top w:type="dxa" w:w="40"/>
              <w:left w:type="dxa" w:w="110"/>
              <w:bottom w:type="dxa" w:w="40"/>
              <w:right w:type="dxa" w:w="110"/>
            </w:tcMar>
          </w:tcPr>
          <w:p>
            <w:pPr>
              <w:spacing w:after="0" w:before="0" w:line="235" w:lineRule="auto"/>
            </w:pPr>
            <w:r>
              <w:rPr>
                <w:sz w:val="18"/>
                <w:szCs w:val="18"/>
              </w:rPr>
              <w:t xml:space="preserve">Test many recipes in parallel. Back-up plan: freeze earlier-stage blood cells and finish maturing them after thawing at the hub.</w:t>
            </w:r>
          </w:p>
        </w:tc>
      </w:tr>
      <w:tr>
        <w:trPr>
          <w:cantSplit/>
        </w:trPr>
        <w:tc>
          <w:tcPr>
            <w:tcW w:type="dxa" w:w="3300"/>
            <w:tcBorders>
              <w:top w:val="none" w:color="FFFFFF" w:sz="0"/>
              <w:left w:val="none" w:color="FFFFFF" w:sz="0"/>
              <w:bottom w:val="none" w:color="FFFFFF" w:sz="0"/>
              <w:right w:val="none" w:color="FFFFFF" w:sz="0"/>
            </w:tcBorders>
            <w:shd w:fill="FFFFFF" w:color="auto" w:val="clear"/>
            <w:tcMar>
              <w:top w:type="dxa" w:w="40"/>
              <w:left w:type="dxa" w:w="110"/>
              <w:bottom w:type="dxa" w:w="40"/>
              <w:right w:type="dxa" w:w="110"/>
            </w:tcMar>
          </w:tcPr>
          <w:p>
            <w:pPr>
              <w:spacing w:after="0" w:before="0" w:line="235" w:lineRule="auto"/>
            </w:pPr>
            <w:r>
              <w:rPr>
                <w:b/>
                <w:bCs/>
                <w:sz w:val="18"/>
                <w:szCs w:val="18"/>
              </w:rPr>
              <w:t xml:space="preserve">Donors vary, patient tumors are scarce, and one lucky experiment could mislead us.</w:t>
            </w:r>
          </w:p>
        </w:tc>
        <w:tc>
          <w:tcPr>
            <w:tcW w:type="dxa" w:w="7500"/>
            <w:tcBorders>
              <w:top w:val="none" w:color="FFFFFF" w:sz="0"/>
              <w:left w:val="none" w:color="FFFFFF" w:sz="0"/>
              <w:bottom w:val="none" w:color="FFFFFF" w:sz="0"/>
              <w:right w:val="none" w:color="FFFFFF" w:sz="0"/>
            </w:tcBorders>
            <w:shd w:fill="FFFFFF" w:color="auto" w:val="clear"/>
            <w:tcMar>
              <w:top w:type="dxa" w:w="40"/>
              <w:left w:type="dxa" w:w="110"/>
              <w:bottom w:type="dxa" w:w="40"/>
              <w:right w:type="dxa" w:w="110"/>
            </w:tcMar>
          </w:tcPr>
          <w:p>
            <w:pPr>
              <w:spacing w:after="0" w:before="0" w:line="235" w:lineRule="auto"/>
            </w:pPr>
            <w:r>
              <w:rPr>
                <w:sz w:val="18"/>
                <w:szCs w:val="18"/>
              </w:rPr>
              <w:t xml:space="preserve">Every test uses at least three independent donors, fresh-cell and no-macrophage controls and repeat shipments, and is analyzed without knowing which condition is which. Frozen, quality-tested batches reduce donor swings, and banked frozen tumors let us schedule experiments instead of waiting for surgeries.</w:t>
            </w:r>
          </w:p>
        </w:tc>
      </w:tr>
      <w:tr>
        <w:trPr>
          <w:cantSplit/>
        </w:trPr>
        <w:tc>
          <w:tcPr>
            <w:tcW w:type="dxa" w:w="3300"/>
            <w:tcBorders>
              <w:top w:val="none" w:color="FFFFFF" w:sz="0"/>
              <w:left w:val="none" w:color="FFFFFF" w:sz="0"/>
              <w:bottom w:val="none" w:color="FFFFFF" w:sz="0"/>
              <w:right w:val="none" w:color="FFFFFF" w:sz="0"/>
            </w:tcBorders>
            <w:shd w:fill="F4F6F8" w:color="auto" w:val="clear"/>
            <w:tcMar>
              <w:top w:type="dxa" w:w="40"/>
              <w:left w:type="dxa" w:w="110"/>
              <w:bottom w:type="dxa" w:w="40"/>
              <w:right w:type="dxa" w:w="110"/>
            </w:tcMar>
          </w:tcPr>
          <w:p>
            <w:pPr>
              <w:spacing w:after="0" w:before="0" w:line="235" w:lineRule="auto"/>
            </w:pPr>
            <w:r>
              <w:rPr>
                <w:b/>
                <w:bCs/>
                <w:sz w:val="18"/>
                <w:szCs w:val="18"/>
              </w:rPr>
              <w:t xml:space="preserve">SLiCE uses rat brain tissue.</w:t>
            </w:r>
          </w:p>
        </w:tc>
        <w:tc>
          <w:tcPr>
            <w:tcW w:type="dxa" w:w="7500"/>
            <w:tcBorders>
              <w:top w:val="none" w:color="FFFFFF" w:sz="0"/>
              <w:left w:val="none" w:color="FFFFFF" w:sz="0"/>
              <w:bottom w:val="none" w:color="FFFFFF" w:sz="0"/>
              <w:right w:val="none" w:color="FFFFFF" w:sz="0"/>
            </w:tcBorders>
            <w:shd w:fill="F4F6F8" w:color="auto" w:val="clear"/>
            <w:tcMar>
              <w:top w:type="dxa" w:w="40"/>
              <w:left w:type="dxa" w:w="110"/>
              <w:bottom w:type="dxa" w:w="40"/>
              <w:right w:type="dxa" w:w="110"/>
            </w:tcMar>
          </w:tcPr>
          <w:p>
            <w:pPr>
              <w:spacing w:after="0" w:before="0" w:line="235" w:lineRule="auto"/>
            </w:pPr>
            <w:r>
              <w:rPr>
                <w:sz w:val="18"/>
                <w:szCs w:val="18"/>
              </w:rPr>
              <w:t xml:space="preserve">It reveals collateral damage to normal brain, but not every human-specific safety issue. Human-cell safety testing is planned for follow-on work.</w:t>
            </w:r>
          </w:p>
        </w:tc>
      </w:tr>
    </w:tbl>
    <w:p>
      <w:pPr>
        <w:pStyle w:val="Heading1"/>
        <w:pageBreakBefore/>
      </w:pPr>
      <w:r>
        <w:t xml:space="preserve">12-month timeline and milestones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8"/>
        <w:gridCol w:w="466"/>
        <w:gridCol w:w="466"/>
        <w:gridCol w:w="466"/>
        <w:gridCol w:w="466"/>
        <w:gridCol w:w="466"/>
        <w:gridCol w:w="466"/>
        <w:gridCol w:w="466"/>
        <w:gridCol w:w="466"/>
        <w:gridCol w:w="466"/>
        <w:gridCol w:w="466"/>
        <w:gridCol w:w="466"/>
        <w:gridCol w:w="466"/>
      </w:tblGrid>
      <w:tr>
        <w:trPr>
          <w:cantSplit/>
          <w:tblHeader/>
        </w:trPr>
        <w:tc>
          <w:tcPr>
            <w:tcW w:type="dxa" w:w="5208"/>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left"/>
            </w:pPr>
            <w:r>
              <w:rPr>
                <w:b/>
                <w:bCs/>
                <w:color w:val="FFFFFF"/>
                <w:sz w:val="16"/>
                <w:szCs w:val="16"/>
              </w:rPr>
              <w:t xml:space="preserve">Activity  (month →)</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1</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2</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3</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4</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5</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6</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7</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8</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9</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10</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11</w:t>
            </w:r>
          </w:p>
        </w:tc>
        <w:tc>
          <w:tcPr>
            <w:tcW w:type="dxa" w:w="466"/>
            <w:tcBorders>
              <w:top w:val="none" w:color="FFFFFF" w:sz="0"/>
              <w:left w:val="single" w:color="FFFFFF" w:sz="6"/>
              <w:bottom w:val="none" w:color="FFFFFF" w:sz="0"/>
              <w:right w:val="single" w:color="FFFFFF" w:sz="6"/>
            </w:tcBorders>
            <w:shd w:fill="14324F" w:color="auto" w:val="clear"/>
            <w:tcMar>
              <w:top w:type="dxa" w:w="35"/>
              <w:left w:type="dxa" w:w="80"/>
              <w:bottom w:type="dxa" w:w="35"/>
              <w:right w:type="dxa" w:w="40"/>
            </w:tcMar>
            <w:vAlign w:val="center"/>
          </w:tcPr>
          <w:p>
            <w:pPr>
              <w:spacing w:after="0" w:before="0" w:line="240" w:lineRule="auto"/>
              <w:jc w:val="center"/>
            </w:pPr>
            <w:r>
              <w:rPr>
                <w:b/>
                <w:bCs/>
                <w:color w:val="FFFFFF"/>
                <w:sz w:val="16"/>
                <w:szCs w:val="16"/>
              </w:rPr>
              <w:t xml:space="preserve">12</w:t>
            </w:r>
          </w:p>
        </w:tc>
      </w:tr>
      <w:tr>
        <w:trPr>
          <w:cantSplit/>
        </w:trPr>
        <w:tc>
          <w:tcPr>
            <w:tcW w:type="dxa" w:w="5208"/>
            <w:tcBorders>
              <w:top w:val="none" w:color="FFFFFF" w:sz="0"/>
              <w:left w:val="none" w:color="FFFFFF" w:sz="0"/>
              <w:bottom w:val="single" w:color="DDE3E9" w:sz="4"/>
              <w:right w:val="none" w:color="FFFFFF" w:sz="0"/>
            </w:tcBorders>
            <w:tcMar>
              <w:top w:type="dxa" w:w="48"/>
              <w:left w:type="dxa" w:w="80"/>
              <w:bottom w:type="dxa" w:w="48"/>
              <w:right w:type="dxa" w:w="60"/>
            </w:tcMar>
            <w:vAlign w:val="center"/>
          </w:tcPr>
          <w:p>
            <w:pPr>
              <w:spacing w:after="0" w:before="0" w:line="225" w:lineRule="auto"/>
            </w:pPr>
            <w:r>
              <w:rPr>
                <w:b/>
                <w:bCs/>
                <w:sz w:val="17"/>
                <w:szCs w:val="17"/>
              </w:rPr>
              <w:t xml:space="preserve">Set-up:</w:t>
            </w:r>
            <w:r>
              <w:rPr>
                <w:sz w:val="17"/>
                <w:szCs w:val="17"/>
              </w:rPr>
              <w:t xml:space="preserve"> SLiCE macrophage tracking; dry run with fresh cells (UNC)</w:t>
            </w:r>
          </w:p>
        </w:tc>
        <w:tc>
          <w:tcPr>
            <w:tcW w:type="dxa" w:w="466"/>
            <w:tcBorders>
              <w:top w:val="none" w:color="FFFFFF" w:sz="0"/>
              <w:left w:val="single" w:color="FFFFFF" w:sz="8"/>
              <w:bottom w:val="single" w:color="DDE3E9" w:sz="4"/>
              <w:right w:val="single" w:color="FFFFFF" w:sz="8"/>
            </w:tcBorders>
            <w:shd w:fill="2A93A3"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2A93A3"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2A93A3"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2A93A3"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r>
      <w:tr>
        <w:trPr>
          <w:cantSplit/>
        </w:trPr>
        <w:tc>
          <w:tcPr>
            <w:tcW w:type="dxa" w:w="5208"/>
            <w:tcBorders>
              <w:top w:val="none" w:color="FFFFFF" w:sz="0"/>
              <w:left w:val="none" w:color="FFFFFF" w:sz="0"/>
              <w:bottom w:val="single" w:color="DDE3E9" w:sz="4"/>
              <w:right w:val="none" w:color="FFFFFF" w:sz="0"/>
            </w:tcBorders>
            <w:tcMar>
              <w:top w:type="dxa" w:w="48"/>
              <w:left w:type="dxa" w:w="80"/>
              <w:bottom w:type="dxa" w:w="48"/>
              <w:right w:type="dxa" w:w="60"/>
            </w:tcMar>
            <w:vAlign w:val="center"/>
          </w:tcPr>
          <w:p>
            <w:pPr>
              <w:spacing w:after="0" w:before="0" w:line="225" w:lineRule="auto"/>
            </w:pPr>
            <w:r>
              <w:rPr>
                <w:b/>
                <w:bCs/>
                <w:sz w:val="17"/>
                <w:szCs w:val="17"/>
              </w:rPr>
              <w:t xml:space="preserve">1.1</w:t>
            </w:r>
            <w:r>
              <w:rPr>
                <w:sz w:val="17"/>
                <w:szCs w:val="17"/>
              </w:rPr>
              <w:t xml:space="preserve"> Freeze, thaw and test cord-blood and adult macrophages (Utah)</w:t>
            </w: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r>
      <w:tr>
        <w:trPr>
          <w:cantSplit/>
        </w:trPr>
        <w:tc>
          <w:tcPr>
            <w:tcW w:type="dxa" w:w="5208"/>
            <w:tcBorders>
              <w:top w:val="none" w:color="FFFFFF" w:sz="0"/>
              <w:left w:val="none" w:color="FFFFFF" w:sz="0"/>
              <w:bottom w:val="single" w:color="DDE3E9" w:sz="4"/>
              <w:right w:val="none" w:color="FFFFFF" w:sz="0"/>
            </w:tcBorders>
            <w:tcMar>
              <w:top w:type="dxa" w:w="48"/>
              <w:left w:type="dxa" w:w="80"/>
              <w:bottom w:type="dxa" w:w="48"/>
              <w:right w:type="dxa" w:w="60"/>
            </w:tcMar>
            <w:vAlign w:val="center"/>
          </w:tcPr>
          <w:p>
            <w:pPr>
              <w:spacing w:after="0" w:before="0" w:line="225" w:lineRule="auto"/>
            </w:pPr>
            <w:r>
              <w:rPr>
                <w:b/>
                <w:bCs/>
                <w:sz w:val="17"/>
                <w:szCs w:val="17"/>
              </w:rPr>
              <w:t xml:space="preserve">1.2</w:t>
            </w:r>
            <w:r>
              <w:rPr>
                <w:sz w:val="17"/>
                <w:szCs w:val="17"/>
              </w:rPr>
              <w:t xml:space="preserve"> Ship to UNC; SLiCE tests on pHGG tissue (Utah → UNC)</w:t>
            </w: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r>
      <w:tr>
        <w:trPr>
          <w:cantSplit/>
        </w:trPr>
        <w:tc>
          <w:tcPr>
            <w:tcW w:type="dxa" w:w="5208"/>
            <w:tcBorders>
              <w:top w:val="none" w:color="FFFFFF" w:sz="0"/>
              <w:left w:val="none" w:color="FFFFFF" w:sz="0"/>
              <w:bottom w:val="single" w:color="DDE3E9" w:sz="4"/>
              <w:right w:val="none" w:color="FFFFFF" w:sz="0"/>
            </w:tcBorders>
            <w:tcMar>
              <w:top w:type="dxa" w:w="48"/>
              <w:left w:type="dxa" w:w="80"/>
              <w:bottom w:type="dxa" w:w="48"/>
              <w:right w:type="dxa" w:w="60"/>
            </w:tcMar>
            <w:vAlign w:val="center"/>
          </w:tcPr>
          <w:p>
            <w:pPr>
              <w:spacing w:after="0" w:before="0" w:line="225" w:lineRule="auto"/>
            </w:pPr>
            <w:r>
              <w:rPr>
                <w:b/>
                <w:bCs/>
                <w:sz w:val="17"/>
                <w:szCs w:val="17"/>
              </w:rPr>
              <w:t xml:space="preserve">2.1</w:t>
            </w:r>
            <w:r>
              <w:rPr>
                <w:sz w:val="17"/>
                <w:szCs w:val="17"/>
              </w:rPr>
              <w:t xml:space="preserve"> Build, freeze, thaw and test NG2-targeted macrophages (Utah)</w:t>
            </w: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14324F"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r>
      <w:tr>
        <w:trPr>
          <w:cantSplit/>
        </w:trPr>
        <w:tc>
          <w:tcPr>
            <w:tcW w:type="dxa" w:w="5208"/>
            <w:tcBorders>
              <w:top w:val="none" w:color="FFFFFF" w:sz="0"/>
              <w:left w:val="none" w:color="FFFFFF" w:sz="0"/>
              <w:bottom w:val="single" w:color="DDE3E9" w:sz="4"/>
              <w:right w:val="none" w:color="FFFFFF" w:sz="0"/>
            </w:tcBorders>
            <w:tcMar>
              <w:top w:type="dxa" w:w="48"/>
              <w:left w:type="dxa" w:w="80"/>
              <w:bottom w:type="dxa" w:w="48"/>
              <w:right w:type="dxa" w:w="60"/>
            </w:tcMar>
            <w:vAlign w:val="center"/>
          </w:tcPr>
          <w:p>
            <w:pPr>
              <w:spacing w:after="0" w:before="0" w:line="225" w:lineRule="auto"/>
            </w:pPr>
            <w:r>
              <w:rPr>
                <w:b/>
                <w:bCs/>
                <w:sz w:val="17"/>
                <w:szCs w:val="17"/>
              </w:rPr>
              <w:t xml:space="preserve">2.2</w:t>
            </w:r>
            <w:r>
              <w:rPr>
                <w:sz w:val="17"/>
                <w:szCs w:val="17"/>
              </w:rPr>
              <w:t xml:space="preserve"> Ship NG2-targeted cells; SLiCE tests, NG2-high vs. low (Utah → UNC)</w:t>
            </w: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r>
      <w:tr>
        <w:trPr>
          <w:cantSplit/>
        </w:trPr>
        <w:tc>
          <w:tcPr>
            <w:tcW w:type="dxa" w:w="5208"/>
            <w:tcBorders>
              <w:top w:val="none" w:color="FFFFFF" w:sz="0"/>
              <w:left w:val="none" w:color="FFFFFF" w:sz="0"/>
              <w:bottom w:val="single" w:color="DDE3E9" w:sz="4"/>
              <w:right w:val="none" w:color="FFFFFF" w:sz="0"/>
            </w:tcBorders>
            <w:tcMar>
              <w:top w:type="dxa" w:w="48"/>
              <w:left w:type="dxa" w:w="80"/>
              <w:bottom w:type="dxa" w:w="48"/>
              <w:right w:type="dxa" w:w="60"/>
            </w:tcMar>
            <w:vAlign w:val="center"/>
          </w:tcPr>
          <w:p>
            <w:pPr>
              <w:spacing w:after="0" w:before="0" w:line="225" w:lineRule="auto"/>
            </w:pPr>
            <w:r>
              <w:rPr>
                <w:b/>
                <w:bCs/>
                <w:sz w:val="17"/>
                <w:szCs w:val="17"/>
              </w:rPr>
              <w:t xml:space="preserve">Wrap-up:</w:t>
            </w:r>
            <w:r>
              <w:rPr>
                <w:sz w:val="17"/>
                <w:szCs w:val="17"/>
              </w:rPr>
              <w:t xml:space="preserve"> cross-site checks, protocol, manuscript, network plan (both)</w:t>
            </w: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c>
          <w:tcPr>
            <w:tcW w:type="dxa" w:w="466"/>
            <w:tcBorders>
              <w:top w:val="none" w:color="FFFFFF" w:sz="0"/>
              <w:left w:val="single" w:color="FFFFFF" w:sz="8"/>
              <w:bottom w:val="single" w:color="DDE3E9" w:sz="4"/>
              <w:right w:val="single" w:color="FFFFFF" w:sz="8"/>
            </w:tcBorders>
            <w:shd w:fill="D9822B" w:color="auto" w:val="clear"/>
            <w:tcMar>
              <w:top w:type="dxa" w:w="48"/>
              <w:left w:type="dxa" w:w="20"/>
              <w:bottom w:type="dxa" w:w="48"/>
              <w:right w:type="dxa" w:w="20"/>
            </w:tcMar>
            <w:vAlign w:val="center"/>
          </w:tcPr>
          <w:p>
            <w:pPr>
              <w:spacing w:after="0" w:before="0" w:line="240" w:lineRule="auto"/>
            </w:pPr>
          </w:p>
        </w:tc>
      </w:tr>
      <w:tr>
        <w:trPr>
          <w:cantSplit/>
        </w:trPr>
        <w:tc>
          <w:tcPr>
            <w:tcW w:type="dxa" w:w="5208"/>
            <w:tcBorders>
              <w:top w:val="none" w:color="FFFFFF" w:sz="0"/>
              <w:left w:val="none" w:color="FFFFFF" w:sz="0"/>
              <w:bottom w:val="none" w:color="FFFFFF" w:sz="0"/>
              <w:right w:val="none" w:color="FFFFFF" w:sz="0"/>
            </w:tcBorders>
            <w:tcMar>
              <w:top w:type="dxa" w:w="28"/>
              <w:left w:type="dxa" w:w="80"/>
              <w:bottom w:type="dxa" w:w="28"/>
              <w:right w:type="dxa" w:w="60"/>
            </w:tcMar>
            <w:vAlign w:val="center"/>
          </w:tcPr>
          <w:p>
            <w:pPr>
              <w:spacing w:after="0" w:before="0" w:line="225" w:lineRule="auto"/>
            </w:pPr>
            <w:r>
              <w:rPr>
                <w:b/>
                <w:bCs/>
                <w:sz w:val="17"/>
                <w:szCs w:val="17"/>
              </w:rPr>
              <w:t xml:space="preserve">Milestones</w:t>
            </w: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r>
              <w:rPr>
                <w:b/>
                <w:bCs/>
                <w:color w:val="A85A14"/>
                <w:sz w:val="16"/>
                <w:szCs w:val="16"/>
              </w:rPr>
              <w:t xml:space="preserve">M1</w:t>
            </w: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r>
              <w:rPr>
                <w:b/>
                <w:bCs/>
                <w:color w:val="A85A14"/>
                <w:sz w:val="16"/>
                <w:szCs w:val="16"/>
              </w:rPr>
              <w:t xml:space="preserve">M2</w:t>
            </w: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p>
        </w:tc>
        <w:tc>
          <w:tcPr>
            <w:tcW w:type="dxa" w:w="466"/>
            <w:tcBorders>
              <w:top w:val="none" w:color="FFFFFF" w:sz="0"/>
              <w:left w:val="none" w:color="FFFFFF" w:sz="0"/>
              <w:bottom w:val="none" w:color="FFFFFF" w:sz="0"/>
              <w:right w:val="none" w:color="FFFFFF" w:sz="0"/>
            </w:tcBorders>
            <w:tcMar>
              <w:top w:type="dxa" w:w="28"/>
              <w:left w:type="dxa" w:w="10"/>
              <w:bottom w:type="dxa" w:w="28"/>
              <w:right w:type="dxa" w:w="10"/>
            </w:tcMar>
            <w:vAlign w:val="center"/>
          </w:tcPr>
          <w:p>
            <w:pPr>
              <w:spacing w:after="0" w:before="0" w:line="240" w:lineRule="auto"/>
              <w:jc w:val="center"/>
            </w:pPr>
            <w:r>
              <w:rPr>
                <w:b/>
                <w:bCs/>
                <w:color w:val="A85A14"/>
                <w:sz w:val="16"/>
                <w:szCs w:val="16"/>
              </w:rPr>
              <w:t xml:space="preserve">M3</w:t>
            </w:r>
          </w:p>
        </w:tc>
      </w:tr>
    </w:tbl>
    <w:p>
      <w:pPr>
        <w:spacing w:after="0" w:before="0" w:line="50" w:lineRule="exact"/>
      </w:pPr>
      <w:r>
        <w:rPr>
          <w:sz w:val="2"/>
          <w:szCs w:val="2"/>
        </w:rPr>
        <w:t xml:space="preserve"/>
      </w:r>
    </w:p>
    <w:tbl>
      <w:tblPr>
        <w:tblW w:type="dxa" w:w="76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
        <w:gridCol w:w="1900"/>
        <w:gridCol w:w="190"/>
        <w:gridCol w:w="1900"/>
        <w:gridCol w:w="190"/>
        <w:gridCol w:w="3300"/>
      </w:tblGrid>
      <w:tr>
        <w:trPr>
          <w:cantSplit/>
        </w:trPr>
        <w:tc>
          <w:tcPr>
            <w:tcW w:type="dxa" w:w="190"/>
            <w:tcBorders>
              <w:top w:val="single" w:color="FFFFFF" w:sz="24"/>
              <w:left w:val="none" w:color="FFFFFF" w:sz="0"/>
              <w:bottom w:val="single" w:color="FFFFFF" w:sz="24"/>
              <w:right w:val="none" w:color="FFFFFF" w:sz="0"/>
            </w:tcBorders>
            <w:shd w:fill="14324F" w:color="auto" w:val="clear"/>
            <w:tcMar>
              <w:top w:type="dxa" w:w="15"/>
              <w:left w:type="dxa" w:w="0"/>
              <w:bottom w:type="dxa" w:w="15"/>
              <w:right w:type="dxa" w:w="0"/>
            </w:tcMar>
          </w:tcPr>
          <w:p>
            <w:pPr>
              <w:spacing w:after="0" w:before="0" w:line="240" w:lineRule="auto"/>
            </w:pPr>
            <w:r>
              <w:rPr>
                <w:sz w:val="12"/>
                <w:szCs w:val="12"/>
              </w:rPr>
              <w:t xml:space="preserve"/>
            </w:r>
          </w:p>
        </w:tc>
        <w:tc>
          <w:tcPr>
            <w:tcW w:type="dxa" w:w="1900"/>
            <w:tcBorders>
              <w:top w:val="none" w:color="FFFFFF" w:sz="0"/>
              <w:left w:val="none" w:color="FFFFFF" w:sz="0"/>
              <w:bottom w:val="none" w:color="FFFFFF" w:sz="0"/>
              <w:right w:val="none" w:color="FFFFFF" w:sz="0"/>
            </w:tcBorders>
            <w:tcMar>
              <w:top w:type="dxa" w:w="15"/>
              <w:left w:type="dxa" w:w="70"/>
              <w:bottom w:type="dxa" w:w="15"/>
              <w:right w:type="dxa" w:w="40"/>
            </w:tcMar>
            <w:vAlign w:val="center"/>
          </w:tcPr>
          <w:p>
            <w:pPr>
              <w:spacing w:after="0" w:before="0" w:line="230" w:lineRule="auto"/>
            </w:pPr>
            <w:r>
              <w:rPr>
                <w:color w:val="52606D"/>
                <w:sz w:val="16"/>
                <w:szCs w:val="16"/>
              </w:rPr>
              <w:t xml:space="preserve">Cheshier lab (Utah)</w:t>
            </w:r>
          </w:p>
        </w:tc>
        <w:tc>
          <w:tcPr>
            <w:tcW w:type="dxa" w:w="190"/>
            <w:tcBorders>
              <w:top w:val="single" w:color="FFFFFF" w:sz="24"/>
              <w:left w:val="none" w:color="FFFFFF" w:sz="0"/>
              <w:bottom w:val="single" w:color="FFFFFF" w:sz="24"/>
              <w:right w:val="none" w:color="FFFFFF" w:sz="0"/>
            </w:tcBorders>
            <w:shd w:fill="2A93A3" w:color="auto" w:val="clear"/>
            <w:tcMar>
              <w:top w:type="dxa" w:w="15"/>
              <w:left w:type="dxa" w:w="0"/>
              <w:bottom w:type="dxa" w:w="15"/>
              <w:right w:type="dxa" w:w="0"/>
            </w:tcMar>
          </w:tcPr>
          <w:p>
            <w:pPr>
              <w:spacing w:after="0" w:before="0" w:line="240" w:lineRule="auto"/>
            </w:pPr>
            <w:r>
              <w:rPr>
                <w:sz w:val="12"/>
                <w:szCs w:val="12"/>
              </w:rPr>
              <w:t xml:space="preserve"/>
            </w:r>
          </w:p>
        </w:tc>
        <w:tc>
          <w:tcPr>
            <w:tcW w:type="dxa" w:w="1900"/>
            <w:tcBorders>
              <w:top w:val="none" w:color="FFFFFF" w:sz="0"/>
              <w:left w:val="none" w:color="FFFFFF" w:sz="0"/>
              <w:bottom w:val="none" w:color="FFFFFF" w:sz="0"/>
              <w:right w:val="none" w:color="FFFFFF" w:sz="0"/>
            </w:tcBorders>
            <w:tcMar>
              <w:top w:type="dxa" w:w="15"/>
              <w:left w:type="dxa" w:w="70"/>
              <w:bottom w:type="dxa" w:w="15"/>
              <w:right w:type="dxa" w:w="40"/>
            </w:tcMar>
            <w:vAlign w:val="center"/>
          </w:tcPr>
          <w:p>
            <w:pPr>
              <w:spacing w:after="0" w:before="0" w:line="230" w:lineRule="auto"/>
            </w:pPr>
            <w:r>
              <w:rPr>
                <w:color w:val="52606D"/>
                <w:sz w:val="16"/>
                <w:szCs w:val="16"/>
              </w:rPr>
              <w:t xml:space="preserve">Satterlee lab (UNC)</w:t>
            </w:r>
          </w:p>
        </w:tc>
        <w:tc>
          <w:tcPr>
            <w:tcW w:type="dxa" w:w="190"/>
            <w:tcBorders>
              <w:top w:val="single" w:color="FFFFFF" w:sz="24"/>
              <w:left w:val="none" w:color="FFFFFF" w:sz="0"/>
              <w:bottom w:val="single" w:color="FFFFFF" w:sz="24"/>
              <w:right w:val="none" w:color="FFFFFF" w:sz="0"/>
            </w:tcBorders>
            <w:shd w:fill="D9822B" w:color="auto" w:val="clear"/>
            <w:tcMar>
              <w:top w:type="dxa" w:w="15"/>
              <w:left w:type="dxa" w:w="0"/>
              <w:bottom w:type="dxa" w:w="15"/>
              <w:right w:type="dxa" w:w="0"/>
            </w:tcMar>
          </w:tcPr>
          <w:p>
            <w:pPr>
              <w:spacing w:after="0" w:before="0" w:line="240" w:lineRule="auto"/>
            </w:pPr>
            <w:r>
              <w:rPr>
                <w:sz w:val="12"/>
                <w:szCs w:val="12"/>
              </w:rPr>
              <w:t xml:space="preserve"/>
            </w:r>
          </w:p>
        </w:tc>
        <w:tc>
          <w:tcPr>
            <w:tcW w:type="dxa" w:w="3300"/>
            <w:tcBorders>
              <w:top w:val="none" w:color="FFFFFF" w:sz="0"/>
              <w:left w:val="none" w:color="FFFFFF" w:sz="0"/>
              <w:bottom w:val="none" w:color="FFFFFF" w:sz="0"/>
              <w:right w:val="none" w:color="FFFFFF" w:sz="0"/>
            </w:tcBorders>
            <w:tcMar>
              <w:top w:type="dxa" w:w="15"/>
              <w:left w:type="dxa" w:w="70"/>
              <w:bottom w:type="dxa" w:w="15"/>
              <w:right w:type="dxa" w:w="40"/>
            </w:tcMar>
            <w:vAlign w:val="center"/>
          </w:tcPr>
          <w:p>
            <w:pPr>
              <w:spacing w:after="0" w:before="0" w:line="230" w:lineRule="auto"/>
            </w:pPr>
            <w:r>
              <w:rPr>
                <w:color w:val="52606D"/>
                <w:sz w:val="16"/>
                <w:szCs w:val="16"/>
              </w:rPr>
              <w:t xml:space="preserve">Joint: ship, thaw and test in SLiCE</w:t>
            </w:r>
          </w:p>
        </w:tc>
      </w:tr>
    </w:tbl>
    <w:p>
      <w:pPr>
        <w:spacing w:after="0" w:before="0" w:line="70" w:lineRule="exact"/>
      </w:pPr>
      <w:r>
        <w:rPr>
          <w:sz w:val="2"/>
          <w:szCs w:val="2"/>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150"/>
        <w:gridCol w:w="3500"/>
        <w:gridCol w:w="150"/>
        <w:gridCol w:w="3500"/>
      </w:tblGrid>
      <w:tr>
        <w:trPr>
          <w:cantSplit/>
        </w:trPr>
        <w:tc>
          <w:tcPr>
            <w:tcW w:type="dxa" w:w="3500"/>
            <w:tcBorders>
              <w:top w:val="single" w:color="A85A14" w:sz="18"/>
              <w:left w:val="none" w:color="FFFFFF" w:sz="0"/>
              <w:bottom w:val="none" w:color="FFFFFF" w:sz="0"/>
              <w:right w:val="none" w:color="FFFFFF" w:sz="0"/>
            </w:tcBorders>
            <w:shd w:fill="F4F6F8" w:color="auto" w:val="clear"/>
            <w:tcMar>
              <w:top w:type="dxa" w:w="50"/>
              <w:left w:type="dxa" w:w="120"/>
              <w:bottom w:type="dxa" w:w="60"/>
              <w:right w:type="dxa" w:w="120"/>
            </w:tcMar>
          </w:tcPr>
          <w:p>
            <w:pPr>
              <w:spacing w:after="10" w:before="0" w:line="220" w:lineRule="auto"/>
            </w:pPr>
            <w:r>
              <w:rPr>
                <w:b/>
                <w:bCs/>
                <w:color w:val="A85A14"/>
                <w:spacing w:val="16"/>
                <w:sz w:val="14"/>
                <w:szCs w:val="14"/>
              </w:rPr>
              <w:t xml:space="preserve">M1  ·  MONTH 5</w:t>
            </w:r>
          </w:p>
          <w:p>
            <w:pPr>
              <w:spacing w:after="0" w:before="0" w:line="240" w:lineRule="auto"/>
            </w:pPr>
            <w:r>
              <w:rPr>
                <w:b/>
                <w:bCs/>
                <w:sz w:val="18"/>
                <w:szCs w:val="18"/>
              </w:rPr>
              <w:t xml:space="preserve">Recipes validated.</w:t>
            </w:r>
            <w:r>
              <w:rPr>
                <w:sz w:val="18"/>
                <w:szCs w:val="18"/>
              </w:rPr>
              <w:t xml:space="preserve"> Freezing recipes work for cord-blood and adult macrophages.</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single" w:color="A85A14" w:sz="18"/>
              <w:left w:val="none" w:color="FFFFFF" w:sz="0"/>
              <w:bottom w:val="none" w:color="FFFFFF" w:sz="0"/>
              <w:right w:val="none" w:color="FFFFFF" w:sz="0"/>
            </w:tcBorders>
            <w:shd w:fill="F4F6F8" w:color="auto" w:val="clear"/>
            <w:tcMar>
              <w:top w:type="dxa" w:w="50"/>
              <w:left w:type="dxa" w:w="120"/>
              <w:bottom w:type="dxa" w:w="60"/>
              <w:right w:type="dxa" w:w="120"/>
            </w:tcMar>
          </w:tcPr>
          <w:p>
            <w:pPr>
              <w:spacing w:after="10" w:before="0" w:line="220" w:lineRule="auto"/>
            </w:pPr>
            <w:r>
              <w:rPr>
                <w:b/>
                <w:bCs/>
                <w:color w:val="A85A14"/>
                <w:spacing w:val="16"/>
                <w:sz w:val="14"/>
                <w:szCs w:val="14"/>
              </w:rPr>
              <w:t xml:space="preserve">M2  ·  MONTH 8</w:t>
            </w:r>
          </w:p>
          <w:p>
            <w:pPr>
              <w:spacing w:after="0" w:before="0" w:line="240" w:lineRule="auto"/>
            </w:pPr>
            <w:r>
              <w:rPr>
                <w:b/>
                <w:bCs/>
                <w:sz w:val="18"/>
                <w:szCs w:val="18"/>
              </w:rPr>
              <w:t xml:space="preserve">Travel proven.</w:t>
            </w:r>
            <w:r>
              <w:rPr>
                <w:sz w:val="18"/>
                <w:szCs w:val="18"/>
              </w:rPr>
              <w:t xml:space="preserve"> Shipped normal macrophages work in SLiCE; NG2-targeted freezing recipe in hand.</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single" w:color="A85A14" w:sz="18"/>
              <w:left w:val="none" w:color="FFFFFF" w:sz="0"/>
              <w:bottom w:val="none" w:color="FFFFFF" w:sz="0"/>
              <w:right w:val="none" w:color="FFFFFF" w:sz="0"/>
            </w:tcBorders>
            <w:shd w:fill="F4F6F8" w:color="auto" w:val="clear"/>
            <w:tcMar>
              <w:top w:type="dxa" w:w="50"/>
              <w:left w:type="dxa" w:w="120"/>
              <w:bottom w:type="dxa" w:w="60"/>
              <w:right w:type="dxa" w:w="120"/>
            </w:tcMar>
          </w:tcPr>
          <w:p>
            <w:pPr>
              <w:spacing w:after="10" w:before="0" w:line="220" w:lineRule="auto"/>
            </w:pPr>
            <w:r>
              <w:rPr>
                <w:b/>
                <w:bCs/>
                <w:color w:val="A85A14"/>
                <w:spacing w:val="16"/>
                <w:sz w:val="14"/>
                <w:szCs w:val="14"/>
              </w:rPr>
              <w:t xml:space="preserve">M3  ·  MONTH 12</w:t>
            </w:r>
          </w:p>
          <w:p>
            <w:pPr>
              <w:spacing w:after="0" w:before="0" w:line="240" w:lineRule="auto"/>
            </w:pPr>
            <w:r>
              <w:rPr>
                <w:b/>
                <w:bCs/>
                <w:sz w:val="18"/>
                <w:szCs w:val="18"/>
              </w:rPr>
              <w:t xml:space="preserve">Network-ready.</w:t>
            </w:r>
            <w:r>
              <w:rPr>
                <w:sz w:val="18"/>
                <w:szCs w:val="18"/>
              </w:rPr>
              <w:t xml:space="preserve"> Shipped NG2-targeted macrophages work in SLiCE; shipping protocol and report delivered.</w:t>
            </w:r>
          </w:p>
        </w:tc>
      </w:tr>
    </w:tbl>
    <w:p>
      <w:pPr>
        <w:pStyle w:val="Heading1"/>
      </w:pPr>
      <w:r>
        <w:t xml:space="preserve">Impact and what comes next</w:t>
      </w:r>
    </w:p>
    <w:p>
      <w:pPr>
        <w:spacing w:after="40" w:before="0" w:line="250" w:lineRule="auto"/>
      </w:pPr>
      <w:r>
        <w:t xml:space="preserve">Picture a surgeon at any partner hospital freezing a piece of a child’s tumor before leaving the operating room. Within days, a report arrives: which immunotherapies destroyed this tumor, and which spared the healthy brain. </w:t>
      </w:r>
      <w:r>
        <w:rPr>
          <w:b/>
          <w:bCs/>
        </w:rPr>
        <w:t xml:space="preserve">In 12 months, this project builds the missing link to that future:</w:t>
      </w:r>
    </w:p>
    <w:p>
      <w:pPr>
        <w:pStyle w:val="ListParagraph"/>
        <w:numPr>
          <w:ilvl w:val="0"/>
          <w:numId w:val="2"/>
        </w:numPr>
        <w:spacing w:after="30" w:before="0" w:line="250" w:lineRule="auto"/>
      </w:pPr>
      <w:r>
        <w:rPr>
          <w:b/>
          <w:bCs/>
        </w:rPr>
        <w:t xml:space="preserve">A shippable macrophage kit:</w:t>
      </w:r>
      <w:r>
        <w:t xml:space="preserve"> validated freezing recipes for cord-blood, adult and NG2-targeted macrophages.</w:t>
      </w:r>
    </w:p>
    <w:p>
      <w:pPr>
        <w:pStyle w:val="ListParagraph"/>
        <w:numPr>
          <w:ilvl w:val="0"/>
          <w:numId w:val="2"/>
        </w:numPr>
        <w:spacing w:after="30" w:before="0" w:line="250" w:lineRule="auto"/>
      </w:pPr>
      <w:r>
        <w:rPr>
          <w:b/>
          <w:bCs/>
        </w:rPr>
        <w:t xml:space="preserve">Proof of travel:</w:t>
      </w:r>
      <w:r>
        <w:t xml:space="preserve"> frozen immune cells that crossed institutions and worked in SLiCE.</w:t>
      </w:r>
    </w:p>
    <w:p>
      <w:pPr>
        <w:pStyle w:val="ListParagraph"/>
        <w:numPr>
          <w:ilvl w:val="0"/>
          <w:numId w:val="2"/>
        </w:numPr>
        <w:spacing w:after="50" w:before="0" w:line="250" w:lineRule="auto"/>
      </w:pPr>
      <w:r>
        <w:rPr>
          <w:b/>
          <w:bCs/>
        </w:rPr>
        <w:t xml:space="preserve">A blueprint:</w:t>
      </w:r>
      <w:r>
        <w:t xml:space="preserve"> a step-by-step protocol any partner lab can follow, and the foundation for a multi-center network.</w:t>
      </w:r>
    </w:p>
    <w:p>
      <w:pPr>
        <w:spacing w:after="70" w:before="0" w:line="250" w:lineRule="auto"/>
      </w:pPr>
      <w:r>
        <w:t xml:space="preserve">The same know-how can then extend to patient-matched immune cells, T cells, and other childhood brain tumors (medulloblastoma, DIPG and others also carry the CD47 signal</w:t>
      </w:r>
      <w:r>
        <w:rPr>
          <w:vertAlign w:val="superscript"/>
        </w:rPr>
        <w:t xml:space="preserve">3</w:t>
      </w:r>
      <w:r>
        <w:t xml:space="preserve">), positioning our team for multi-year, multi-center funding.</w:t>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800"/>
      </w:tblGrid>
      <w:tr>
        <w:trPr>
          <w:cantSplit/>
        </w:trPr>
        <w:tc>
          <w:tcPr>
            <w:tcW w:type="dxa" w:w="10800"/>
            <w:tcBorders>
              <w:top w:val="none" w:color="FFFFFF" w:sz="0"/>
              <w:left w:val="none" w:color="FFFFFF" w:sz="0"/>
              <w:bottom w:val="none" w:color="FFFFFF" w:sz="0"/>
              <w:right w:val="none" w:color="FFFFFF" w:sz="0"/>
            </w:tcBorders>
            <w:shd w:fill="14324F" w:color="auto" w:val="clear"/>
            <w:tcMar>
              <w:top w:type="dxa" w:w="90"/>
              <w:left w:type="dxa" w:w="160"/>
              <w:bottom w:type="dxa" w:w="90"/>
              <w:right w:type="dxa" w:w="160"/>
            </w:tcMar>
          </w:tcPr>
          <w:p>
            <w:pPr>
              <w:spacing w:after="0" w:before="0" w:line="240" w:lineRule="auto"/>
              <w:jc w:val="center"/>
            </w:pPr>
            <w:r>
              <w:rPr>
                <w:color w:val="FFFFFF"/>
                <w:sz w:val="24"/>
                <w:szCs w:val="24"/>
              </w:rPr>
              <w:t xml:space="preserve">Children with brain tumors cannot wait for slow, uncertain testing.  </w:t>
            </w:r>
            <w:r>
              <w:rPr>
                <w:b/>
                <w:bCs/>
                <w:color w:val="F6C98B"/>
                <w:sz w:val="24"/>
                <w:szCs w:val="24"/>
              </w:rPr>
              <w:t xml:space="preserve">Test before you treat.</w:t>
            </w:r>
          </w:p>
        </w:tc>
      </w:tr>
    </w:tbl>
    <w:p>
      <w:pPr>
        <w:pStyle w:val="Heading1"/>
      </w:pPr>
      <w:r>
        <w:t xml:space="preserve">Team and budget</w:t>
      </w:r>
    </w:p>
    <w:tbl>
      <w:tblPr>
        <w:tblW w:type="dxa" w:w="10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00"/>
        <w:gridCol w:w="150"/>
        <w:gridCol w:w="3500"/>
        <w:gridCol w:w="150"/>
        <w:gridCol w:w="3500"/>
      </w:tblGrid>
      <w:tr>
        <w:trPr>
          <w:cantSplit/>
        </w:trPr>
        <w:tc>
          <w:tcPr>
            <w:tcW w:type="dxa" w:w="3500"/>
            <w:tcBorders>
              <w:top w:val="none" w:color="FFFFFF" w:sz="0"/>
              <w:left w:val="none" w:color="FFFFFF" w:sz="0"/>
              <w:bottom w:val="none" w:color="FFFFFF" w:sz="0"/>
              <w:right w:val="none" w:color="FFFFFF" w:sz="0"/>
            </w:tcBorders>
            <w:shd w:fill="14324F" w:color="auto" w:val="clear"/>
            <w:tcMar>
              <w:top w:type="dxa" w:w="55"/>
              <w:left w:type="dxa" w:w="120"/>
              <w:bottom w:type="dxa" w:w="55"/>
              <w:right w:type="dxa" w:w="120"/>
            </w:tcMar>
          </w:tcPr>
          <w:p>
            <w:pPr>
              <w:keepNext/>
              <w:spacing w:after="0" w:before="0" w:line="240" w:lineRule="auto"/>
            </w:pPr>
            <w:r>
              <w:rPr>
                <w:b/>
                <w:bCs/>
                <w:color w:val="FFFFFF"/>
                <w:sz w:val="20"/>
                <w:szCs w:val="20"/>
              </w:rPr>
              <w:t xml:space="preserve">Utah · Dr. Samuel Cheshier</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none" w:color="FFFFFF" w:sz="0"/>
              <w:left w:val="none" w:color="FFFFFF" w:sz="0"/>
              <w:bottom w:val="none" w:color="FFFFFF" w:sz="0"/>
              <w:right w:val="none" w:color="FFFFFF" w:sz="0"/>
            </w:tcBorders>
            <w:shd w:fill="17707E" w:color="auto" w:val="clear"/>
            <w:tcMar>
              <w:top w:type="dxa" w:w="55"/>
              <w:left w:type="dxa" w:w="120"/>
              <w:bottom w:type="dxa" w:w="55"/>
              <w:right w:type="dxa" w:w="120"/>
            </w:tcMar>
          </w:tcPr>
          <w:p>
            <w:pPr>
              <w:keepNext/>
              <w:spacing w:after="0" w:before="0" w:line="240" w:lineRule="auto"/>
            </w:pPr>
            <w:r>
              <w:rPr>
                <w:b/>
                <w:bCs/>
                <w:color w:val="FFFFFF"/>
                <w:sz w:val="20"/>
                <w:szCs w:val="20"/>
              </w:rPr>
              <w:t xml:space="preserve">UNC · Dr. Andrew Satterlee</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none" w:color="FFFFFF" w:sz="0"/>
              <w:left w:val="none" w:color="FFFFFF" w:sz="0"/>
              <w:bottom w:val="none" w:color="FFFFFF" w:sz="0"/>
              <w:right w:val="none" w:color="FFFFFF" w:sz="0"/>
            </w:tcBorders>
            <w:shd w:fill="A85A14" w:color="auto" w:val="clear"/>
            <w:tcMar>
              <w:top w:type="dxa" w:w="55"/>
              <w:left w:type="dxa" w:w="120"/>
              <w:bottom w:type="dxa" w:w="55"/>
              <w:right w:type="dxa" w:w="120"/>
            </w:tcMar>
          </w:tcPr>
          <w:p>
            <w:pPr>
              <w:keepNext/>
              <w:spacing w:after="0" w:before="0" w:line="240" w:lineRule="auto"/>
            </w:pPr>
            <w:r>
              <w:rPr>
                <w:b/>
                <w:bCs/>
                <w:color w:val="FFFFFF"/>
                <w:sz w:val="20"/>
                <w:szCs w:val="20"/>
              </w:rPr>
              <w:t xml:space="preserve">Budget · $75,000 over 12 months</w:t>
            </w:r>
          </w:p>
        </w:tc>
      </w:tr>
      <w:tr>
        <w:trPr>
          <w:cantSplit/>
        </w:trPr>
        <w:tc>
          <w:tcPr>
            <w:tcW w:type="dxa" w:w="3500"/>
            <w:tcBorders>
              <w:top w:val="none" w:color="FFFFFF" w:sz="0"/>
              <w:left w:val="none" w:color="FFFFFF" w:sz="0"/>
              <w:bottom w:val="none" w:color="FFFFFF" w:sz="0"/>
              <w:right w:val="none" w:color="FFFFFF" w:sz="0"/>
            </w:tcBorders>
            <w:shd w:fill="E8EEF4" w:color="auto" w:val="clear"/>
            <w:tcMar>
              <w:top w:type="dxa" w:w="70"/>
              <w:left w:type="dxa" w:w="120"/>
              <w:bottom w:type="dxa" w:w="70"/>
              <w:right w:type="dxa" w:w="120"/>
            </w:tcMar>
          </w:tcPr>
          <w:p>
            <w:pPr>
              <w:spacing w:after="40" w:before="0" w:line="240" w:lineRule="auto"/>
            </w:pPr>
            <w:r>
              <w:rPr>
                <w:sz w:val="18"/>
                <w:szCs w:val="18"/>
              </w:rPr>
              <w:t xml:space="preserve">Pediatric neurosurgery and macrophage immunotherapy for brain tumors: the anti-CD47 studies,</w:t>
            </w:r>
            <w:r>
              <w:rPr>
                <w:sz w:val="18"/>
                <w:szCs w:val="18"/>
                <w:vertAlign w:val="superscript"/>
              </w:rPr>
              <w:t xml:space="preserve">3</w:t>
            </w:r>
            <w:r>
              <w:rPr>
                <w:sz w:val="18"/>
                <w:szCs w:val="18"/>
              </w:rPr>
              <w:t xml:space="preserve"> the cord-blood findings</w:t>
            </w:r>
            <w:r>
              <w:rPr>
                <w:sz w:val="18"/>
                <w:szCs w:val="18"/>
                <w:vertAlign w:val="superscript"/>
              </w:rPr>
              <w:t xml:space="preserve">4</w:t>
            </w:r>
            <w:r>
              <w:rPr>
                <w:sz w:val="18"/>
                <w:szCs w:val="18"/>
              </w:rPr>
              <w:t xml:space="preserve"> and NG2-targeted macrophages (with Dr. Minna Roh-Johnson’s laboratory).</w:t>
            </w:r>
            <w:r>
              <w:rPr>
                <w:sz w:val="18"/>
                <w:szCs w:val="18"/>
                <w:vertAlign w:val="superscript"/>
              </w:rPr>
              <w:t xml:space="preserve">5,6</w:t>
            </w:r>
            <w:r>
              <w:rPr>
                <w:sz w:val="18"/>
                <w:szCs w:val="18"/>
              </w:rPr>
              <w:t xml:space="preserve"> </w:t>
            </w:r>
            <w:r>
              <w:rPr>
                <w:b/>
                <w:bCs/>
                <w:sz w:val="18"/>
                <w:szCs w:val="18"/>
              </w:rPr>
              <w:t xml:space="preserve">Leads:</w:t>
            </w:r>
            <w:r>
              <w:rPr>
                <w:sz w:val="18"/>
                <w:szCs w:val="18"/>
              </w:rPr>
              <w:t xml:space="preserve"> cell production, freezing and shipping.</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none" w:color="FFFFFF" w:sz="0"/>
              <w:left w:val="none" w:color="FFFFFF" w:sz="0"/>
              <w:bottom w:val="none" w:color="FFFFFF" w:sz="0"/>
              <w:right w:val="none" w:color="FFFFFF" w:sz="0"/>
            </w:tcBorders>
            <w:shd w:fill="E5F2F4" w:color="auto" w:val="clear"/>
            <w:tcMar>
              <w:top w:type="dxa" w:w="70"/>
              <w:left w:type="dxa" w:w="120"/>
              <w:bottom w:type="dxa" w:w="70"/>
              <w:right w:type="dxa" w:w="120"/>
            </w:tcMar>
          </w:tcPr>
          <w:p>
            <w:pPr>
              <w:spacing w:after="40" w:before="0" w:line="240" w:lineRule="auto"/>
            </w:pPr>
            <w:r>
              <w:rPr>
                <w:sz w:val="18"/>
                <w:szCs w:val="18"/>
              </w:rPr>
              <w:t xml:space="preserve">Developer of SLiCE, which keeps patient tumors alive on living brain slices for four-day treatment testing, including with immune T cells.</w:t>
            </w:r>
            <w:r>
              <w:rPr>
                <w:sz w:val="18"/>
                <w:szCs w:val="18"/>
                <w:vertAlign w:val="superscript"/>
              </w:rPr>
              <w:t xml:space="preserve">1,2</w:t>
            </w:r>
            <w:r>
              <w:rPr>
                <w:sz w:val="18"/>
                <w:szCs w:val="18"/>
              </w:rPr>
              <w:t xml:space="preserve"> </w:t>
            </w:r>
            <w:r>
              <w:rPr>
                <w:b/>
                <w:bCs/>
                <w:sz w:val="18"/>
                <w:szCs w:val="18"/>
              </w:rPr>
              <w:t xml:space="preserve">Leads:</w:t>
            </w:r>
            <w:r>
              <w:rPr>
                <w:sz w:val="18"/>
                <w:szCs w:val="18"/>
              </w:rPr>
              <w:t xml:space="preserve"> receiving shipments, SLiCE testing and the normal-brain safety readout.</w:t>
            </w:r>
          </w:p>
        </w:tc>
        <w:tc>
          <w:tcPr>
            <w:tcW w:type="dxa" w:w="150"/>
            <w:tcBorders>
              <w:top w:val="none" w:color="FFFFFF" w:sz="0"/>
              <w:left w:val="none" w:color="FFFFFF" w:sz="0"/>
              <w:bottom w:val="none" w:color="FFFFFF" w:sz="0"/>
              <w:right w:val="none" w:color="FFFFFF" w:sz="0"/>
            </w:tcBorders>
            <w:tcMar>
              <w:top w:type="dxa" w:w="60"/>
              <w:left w:type="dxa" w:w="110"/>
              <w:bottom w:type="dxa" w:w="60"/>
              <w:right w:type="dxa" w:w="110"/>
            </w:tcMar>
          </w:tcPr>
          <w:p/>
        </w:tc>
        <w:tc>
          <w:tcPr>
            <w:tcW w:type="dxa" w:w="3500"/>
            <w:tcBorders>
              <w:top w:val="none" w:color="FFFFFF" w:sz="0"/>
              <w:left w:val="none" w:color="FFFFFF" w:sz="0"/>
              <w:bottom w:val="none" w:color="FFFFFF" w:sz="0"/>
              <w:right w:val="none" w:color="FFFFFF" w:sz="0"/>
            </w:tcBorders>
            <w:shd w:fill="FCEFDD" w:color="auto" w:val="clear"/>
            <w:tcMar>
              <w:top w:type="dxa" w:w="70"/>
              <w:left w:type="dxa" w:w="120"/>
              <w:bottom w:type="dxa" w:w="70"/>
              <w:right w:type="dxa" w:w="120"/>
            </w:tcMar>
          </w:tcPr>
          <w:p>
            <w:pPr>
              <w:spacing w:after="40" w:before="0" w:line="240" w:lineRule="auto"/>
            </w:pPr>
            <w:r>
              <w:rPr>
                <w:b/>
                <w:bCs/>
                <w:sz w:val="18"/>
                <w:szCs w:val="18"/>
              </w:rPr>
              <w:t xml:space="preserve">$50,000</w:t>
            </w:r>
            <w:r>
              <w:rPr>
                <w:sz w:val="18"/>
                <w:szCs w:val="18"/>
              </w:rPr>
              <w:t xml:space="preserve"> to Dr. Cheshier’s laboratory for cell production, freezing, engineering and shipping.</w:t>
            </w:r>
          </w:p>
          <w:p>
            <w:pPr>
              <w:spacing w:after="40" w:before="0" w:line="240" w:lineRule="auto"/>
            </w:pPr>
            <w:r>
              <w:rPr>
                <w:b/>
                <w:bCs/>
                <w:sz w:val="18"/>
                <w:szCs w:val="18"/>
              </w:rPr>
              <w:t xml:space="preserve">$25,000</w:t>
            </w:r>
            <w:r>
              <w:rPr>
                <w:sz w:val="18"/>
                <w:szCs w:val="18"/>
              </w:rPr>
              <w:t xml:space="preserve"> to Dr. Satterlee’s laboratory for SLiCE testing.</w:t>
            </w:r>
          </w:p>
          <w:p>
            <w:pPr>
              <w:spacing w:after="40" w:before="0" w:line="240" w:lineRule="auto"/>
            </w:pPr>
            <w:r>
              <w:rPr>
                <w:sz w:val="18"/>
                <w:szCs w:val="18"/>
              </w:rPr>
              <w:t xml:space="preserve">Line items are in the separate budget document.</w:t>
            </w:r>
          </w:p>
        </w:tc>
      </w:tr>
    </w:tbl>
    <w:p>
      <w:pPr>
        <w:pBdr>
          <w:top w:val="single" w:color="C9D2DB" w:sz="4"/>
        </w:pBdr>
        <w:spacing w:after="20" w:before="60" w:line="240" w:lineRule="auto"/>
      </w:pPr>
      <w:r>
        <w:rPr>
          <w:b/>
          <w:bCs/>
          <w:color w:val="14324F"/>
          <w:spacing w:val="16"/>
          <w:sz w:val="17"/>
          <w:szCs w:val="17"/>
        </w:rPr>
        <w:t xml:space="preserve">REFERENCES</w:t>
      </w:r>
    </w:p>
    <w:p>
      <w:pPr>
        <w:spacing w:after="10" w:before="0" w:line="215" w:lineRule="auto"/>
        <w:ind w:left="220" w:hanging="220"/>
      </w:pPr>
      <w:r>
        <w:rPr>
          <w:color w:val="52606D"/>
          <w:sz w:val="17"/>
          <w:szCs w:val="17"/>
        </w:rPr>
        <w:t xml:space="preserve">1.  Mann B, et al. A living ex vivo platform for functional, personalized brain cancer diagnosis. </w:t>
      </w:r>
      <w:r>
        <w:rPr>
          <w:i/>
          <w:iCs/>
          <w:color w:val="52606D"/>
          <w:sz w:val="17"/>
          <w:szCs w:val="17"/>
        </w:rPr>
        <w:t xml:space="preserve">Cell Rep Med</w:t>
      </w:r>
      <w:r>
        <w:rPr>
          <w:color w:val="52606D"/>
          <w:sz w:val="17"/>
          <w:szCs w:val="17"/>
        </w:rPr>
        <w:t xml:space="preserve"> 2023;4:101042.</w:t>
      </w:r>
    </w:p>
    <w:p>
      <w:pPr>
        <w:spacing w:after="10" w:before="0" w:line="215" w:lineRule="auto"/>
        <w:ind w:left="220" w:hanging="220"/>
      </w:pPr>
      <w:r>
        <w:rPr>
          <w:color w:val="52606D"/>
          <w:sz w:val="17"/>
          <w:szCs w:val="17"/>
        </w:rPr>
        <w:t xml:space="preserve">2.  Artz NM, et al. An ex vivo functional biomarker of treatment response in pediatric low-grade glioma. </w:t>
      </w:r>
      <w:r>
        <w:rPr>
          <w:i/>
          <w:iCs/>
          <w:color w:val="52606D"/>
          <w:sz w:val="17"/>
          <w:szCs w:val="17"/>
        </w:rPr>
        <w:t xml:space="preserve">PLoS One</w:t>
      </w:r>
      <w:r>
        <w:rPr>
          <w:color w:val="52606D"/>
          <w:sz w:val="17"/>
          <w:szCs w:val="17"/>
        </w:rPr>
        <w:t xml:space="preserve"> 2026;21(3):e0331423.</w:t>
      </w:r>
    </w:p>
    <w:p>
      <w:pPr>
        <w:spacing w:after="10" w:before="0" w:line="215" w:lineRule="auto"/>
        <w:ind w:left="220" w:hanging="220"/>
      </w:pPr>
      <w:r>
        <w:rPr>
          <w:color w:val="52606D"/>
          <w:sz w:val="17"/>
          <w:szCs w:val="17"/>
        </w:rPr>
        <w:t xml:space="preserve">3.  Gholamin S, Mitra SS, Feroze AH, et al. Disrupting the CD47-SIRPα anti-phagocytic axis by a humanized anti-CD47 antibody is an efficacious treatment for malignant pediatric brain tumors. </w:t>
      </w:r>
      <w:r>
        <w:rPr>
          <w:i/>
          <w:iCs/>
          <w:color w:val="52606D"/>
          <w:sz w:val="17"/>
          <w:szCs w:val="17"/>
        </w:rPr>
        <w:t xml:space="preserve">Sci Transl Med</w:t>
      </w:r>
      <w:r>
        <w:rPr>
          <w:color w:val="52606D"/>
          <w:sz w:val="17"/>
          <w:szCs w:val="17"/>
        </w:rPr>
        <w:t xml:space="preserve"> 2017;9:eaaf2968.</w:t>
      </w:r>
    </w:p>
    <w:p>
      <w:pPr>
        <w:spacing w:after="10" w:before="0" w:line="215" w:lineRule="auto"/>
        <w:ind w:left="220" w:hanging="220"/>
      </w:pPr>
      <w:r>
        <w:rPr>
          <w:color w:val="52606D"/>
          <w:sz w:val="17"/>
          <w:szCs w:val="17"/>
        </w:rPr>
        <w:t xml:space="preserve">4.  Baker C, Cooper A, Youssef OA, et al. Age-dependent changes in phagocytic efficiency by macrophages incubated with grade 3 pediatric medulloblastoma cells in response to anti-CD47 treatment. Manuscript in preparation.</w:t>
      </w:r>
    </w:p>
    <w:p>
      <w:pPr>
        <w:spacing w:after="10" w:before="0" w:line="215" w:lineRule="auto"/>
        <w:ind w:left="220" w:hanging="220"/>
      </w:pPr>
      <w:r>
        <w:rPr>
          <w:color w:val="52606D"/>
          <w:sz w:val="17"/>
          <w:szCs w:val="17"/>
        </w:rPr>
        <w:t xml:space="preserve">5.  Kurudza E, Varady SRS, Greiner D, et al. NG2-targeting macrophages inhibit 3D invasion of patient-derived glioblastoma spheroids. </w:t>
      </w:r>
      <w:r>
        <w:rPr>
          <w:i/>
          <w:iCs/>
          <w:color w:val="52606D"/>
          <w:sz w:val="17"/>
          <w:szCs w:val="17"/>
        </w:rPr>
        <w:t xml:space="preserve">bioRxiv</w:t>
      </w:r>
      <w:r>
        <w:rPr>
          <w:color w:val="52606D"/>
          <w:sz w:val="17"/>
          <w:szCs w:val="17"/>
        </w:rPr>
        <w:t xml:space="preserve"> 2026; doi:10.64898/2026.04.03.715398.</w:t>
      </w:r>
    </w:p>
    <w:p>
      <w:pPr>
        <w:spacing w:after="10" w:before="0" w:line="215" w:lineRule="auto"/>
        <w:ind w:left="220" w:hanging="220"/>
      </w:pPr>
      <w:r>
        <w:rPr>
          <w:color w:val="52606D"/>
          <w:sz w:val="17"/>
          <w:szCs w:val="17"/>
        </w:rPr>
        <w:t xml:space="preserve">6.  Greiner D, Xue Q, Waddell TQA, et al. Human CSPG4-targeting CAR-macrophages inhibit melanoma growth. </w:t>
      </w:r>
      <w:r>
        <w:rPr>
          <w:i/>
          <w:iCs/>
          <w:color w:val="52606D"/>
          <w:sz w:val="17"/>
          <w:szCs w:val="17"/>
        </w:rPr>
        <w:t xml:space="preserve">Oncogene</w:t>
      </w:r>
      <w:r>
        <w:rPr>
          <w:color w:val="52606D"/>
          <w:sz w:val="17"/>
          <w:szCs w:val="17"/>
        </w:rPr>
        <w:t xml:space="preserve"> 2025;44:1665–1677.</w:t>
      </w:r>
    </w:p>
    <w:sectPr>
      <w:footerReference w:type="default" r:id="rId7"/>
      <w:pgSz w:w="12240" w:h="15840" w:orient="portrait"/>
      <w:pgMar w:top="720" w:right="720" w:bottom="720" w:left="720" w:header="30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pPr>
    <w:r>
      <w:t xml:space="preserve">Test Before You Treat  |  Cheshier &amp; Satterlee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A85A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lang w:val="en-US"/>
      </w:rPr>
    </w:rPrDefault>
    <w:pPrDefault>
      <w:pPr>
        <w:spacing w:after="70" w:line="250" w:lineRule="auto"/>
      </w:pPr>
    </w:pPrDefault>
  </w:docDefaults>
  <w:style w:type="paragraph" w:styleId="Title">
    <w:name w:val="Title"/>
    <w:basedOn w:val="Normal"/>
    <w:next w:val="Normal"/>
    <w:qFormat/>
    <w:pPr>
      <w:spacing w:after="0" w:before="90" w:line="240" w:lineRule="auto"/>
    </w:pPr>
    <w:rPr>
      <w:rFonts w:ascii="Calibri" w:cs="Calibri" w:eastAsia="Calibri" w:hAnsi="Calibri"/>
      <w:b/>
      <w:bCs/>
      <w:color w:val="14324F"/>
      <w:sz w:val="56"/>
      <w:szCs w:val="56"/>
    </w:rPr>
  </w:style>
  <w:style w:type="paragraph" w:styleId="Heading1">
    <w:name w:val="Heading 1"/>
    <w:basedOn w:val="Normal"/>
    <w:next w:val="Normal"/>
    <w:qFormat/>
    <w:pPr>
      <w:keepNext/>
      <w:pBdr>
        <w:bottom w:val="single" w:color="17707E" w:sz="6" w:space="1"/>
      </w:pBdr>
      <w:spacing w:after="60" w:before="130" w:line="240" w:lineRule="auto"/>
      <w:outlineLvl w:val="0"/>
    </w:pPr>
    <w:rPr>
      <w:rFonts w:ascii="Calibri" w:cs="Calibri" w:eastAsia="Calibri" w:hAnsi="Calibri"/>
      <w:b/>
      <w:bCs/>
      <w:caps/>
      <w:color w:val="14324F"/>
      <w:spacing w:val="18"/>
      <w:sz w:val="22"/>
      <w:szCs w:val="2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qFormat/>
    <w:pPr>
      <w:spacing w:after="0" w:before="0" w:line="240" w:lineRule="auto"/>
      <w:jc w:val="center"/>
    </w:pPr>
    <w:rPr>
      <w:color w:val="52606D"/>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b49b71e11fc4096948dbf963b80caa10ffd5e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Before You Treat: A shippable immune-cell platform to personalize immunotherapy for childhood brain tumors</dc:title>
  <dc:subject>Research proposal (12-month pilot)</dc:subject>
  <dc:creator>Samuel H. Cheshier &amp; Andrew B. Satterlee</dc:creator>
  <dc:description>Freezing, shipping and thawing macrophages for use in the SLiCE brain-slice platform</dc:description>
  <cp:lastModifiedBy>Un-named</cp:lastModifiedBy>
  <cp:revision>1</cp:revision>
  <dcterms:created xsi:type="dcterms:W3CDTF">2026-10-06T16:41:33.779Z</dcterms:created>
  <dcterms:modified xsi:type="dcterms:W3CDTF">2026-10-06T16:41:33.779Z</dcterms:modified>
</cp:coreProperties>
</file>

<file path=docProps/custom.xml><?xml version="1.0" encoding="utf-8"?>
<Properties xmlns="http://schemas.openxmlformats.org/officeDocument/2006/custom-properties" xmlns:vt="http://schemas.openxmlformats.org/officeDocument/2006/docPropsVTypes"/>
</file>