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aps/>
          <w:color w:val="7F7F7F"/>
          <w:sz w:val="22"/>
          <w:szCs w:val="22"/>
        </w:rPr>
        <w:t xml:space="preserve">Literature Brief</w:t>
      </w:r>
    </w:p>
    <w:p>
      <w:pPr>
        <w:pStyle w:val="Title"/>
      </w:pPr>
      <w:r>
        <w:t xml:space="preserve">Safety of Lumbar Puncture After Successful Endoscopic Third Ventriculostomy in Patients with Large Pineal Region Tumors</w:t>
      </w:r>
    </w:p>
    <w:p>
      <w:pPr>
        <w:pBdr>
          <w:bottom w:val="single" w:color="1F4E79" w:sz="6" w:space="6"/>
        </w:pBdr>
        <w:spacing w:after="240"/>
      </w:pPr>
      <w:r>
        <w:rPr>
          <w:color w:val="595959"/>
          <w:sz w:val="20"/>
          <w:szCs w:val="20"/>
        </w:rPr>
        <w:t xml:space="preserve">Prepared for Samuel Cheshier, MD, PhD  ·  October 28, 2026</w:t>
      </w:r>
    </w:p>
    <w:p>
      <w:pPr>
        <w:pStyle w:val="Heading1"/>
      </w:pPr>
      <w:r>
        <w:t xml:space="preserve">Bottom Line</w:t>
      </w:r>
    </w:p>
    <w:p>
      <w:pPr>
        <w:pBdr>
          <w:left w:val="single" w:color="1F4E79" w:sz="24" w:space="8"/>
        </w:pBdr>
        <w:shd w:fill="EAF1F8" w:color="auto" w:val="clear"/>
        <w:spacing w:after="200" w:before="120" w:line="276"/>
        <w:ind w:left="200" w:right="200"/>
      </w:pPr>
      <w:r>
        <w:rPr>
          <w:b/>
          <w:bCs/>
        </w:rPr>
        <w:t xml:space="preserve">A lumbar puncture (LP) after a radiologically and clinically successful ETV is generally considered safe and is the preferred route for CSF staging of pineal region tumors, </w:t>
      </w:r>
      <w:r>
        <w:t xml:space="preserve">because a patent stoma converts a non-communicating (obstructive) hydrocephalus into a communicating CSF system and removes the ventricular-to-spinal pressure gradient that makes LP dangerous. </w:t>
      </w:r>
      <w:r>
        <w:rPr>
          <w:b/>
          <w:bCs/>
        </w:rPr>
        <w:t xml:space="preserve">However, ETV does not remove the tumor. </w:t>
      </w:r>
      <w:r>
        <w:t xml:space="preserve">In a large pineal mass, the residual risk comes from the mass itself — crowding of the tentorial incisura and posterior fossa — not from hydrocephalus. Safety therefore depends on confirming stoma function, excluding compartmental pressure gradients on post-ETV imaging, choosing the timing, and using a low-volume, atraumatic technique.</w:t>
      </w:r>
    </w:p>
    <w:p>
      <w:pPr>
        <w:spacing w:after="120" w:line="276"/>
      </w:pPr>
      <w:r>
        <w:rPr>
          <w:b/>
          <w:bCs/>
        </w:rPr>
        <w:t xml:space="preserve">Strength of evidence: </w:t>
      </w:r>
      <w:r>
        <w:t xml:space="preserve">No prospective or dedicated series addresses LP after ETV specifically in large pineal tumors. The conclusions below are synthesized from (1) pediatric ICP/LP data after ETV, (2) CT-defined contraindications to LP, (3) cooperative-group staging rules for CNS germ cell tumors, and (4) pineal ETV/biopsy series and case reports. Practice is consensus-based.</w:t>
      </w:r>
    </w:p>
    <w:p>
      <w:pPr>
        <w:pStyle w:val="Heading1"/>
      </w:pPr>
      <w:r>
        <w:t xml:space="preserve">1. Physiological Rationale</w:t>
      </w:r>
    </w:p>
    <w:p>
      <w:pPr>
        <w:pStyle w:val="Heading2"/>
      </w:pPr>
      <w:r>
        <w:t xml:space="preserve">Why LP is dangerous before ETV</w:t>
      </w:r>
    </w:p>
    <w:p>
      <w:pPr>
        <w:spacing w:after="120" w:line="276"/>
      </w:pPr>
      <w:r>
        <w:t xml:space="preserve">Pineal region tumors cause obstructive (triventricular) hydrocephalus by compressing the cerebral aqueduct. Ventricular pressure is high while the spinal subarachnoid space is relatively decompressed and isolated. Removing spinal CSF in this state widens the supratentorial-to-spinal gradient and can precipitate descending transtentorial and tonsillar herniation. This is why staging guidance tells clinicians to defer LP until raised ICP is addressed, and to draw ventricular CSF at the time of diversion when needed.</w:t>
      </w:r>
    </w:p>
    <w:p>
      <w:pPr>
        <w:pStyle w:val="Heading2"/>
      </w:pPr>
      <w:r>
        <w:t xml:space="preserve">What a successful ETV changes</w:t>
      </w:r>
    </w:p>
    <w:p>
      <w:pPr>
        <w:pStyle w:val="ListParagraph"/>
        <w:numPr>
          <w:ilvl w:val="0"/>
          <w:numId w:val="2"/>
        </w:numPr>
        <w:spacing w:after="80" w:line="264"/>
      </w:pPr>
      <w:r>
        <w:t xml:space="preserve">The stoma in the floor of the third ventricle connects the ventricles to the interpeduncular/prepontine cisterns, and from there to the spinal subarachnoid space. Pressures equalize across the system, so lumbar opening pressure again reflects intracranial pressure.</w:t>
      </w:r>
    </w:p>
    <w:p>
      <w:pPr>
        <w:pStyle w:val="ListParagraph"/>
        <w:numPr>
          <w:ilvl w:val="0"/>
          <w:numId w:val="2"/>
        </w:numPr>
        <w:spacing w:after="80" w:line="264"/>
      </w:pPr>
      <w:r>
        <w:t xml:space="preserve">Post-ETV LP is routinely used as a diagnostic and therapeutic tool. In a pediatric series of 64 children with ICP monitoring after ETV (Cinalli et al., 2006), transient post-operative ICP elevation was common — highest in posterior fossa tumor patients — and usually resolved with one or two LPs, which rapidly normalized ICP.</w:t>
      </w:r>
    </w:p>
    <w:p>
      <w:pPr>
        <w:pStyle w:val="Heading2"/>
      </w:pPr>
      <w:r>
        <w:t xml:space="preserve">What ETV does not change: the residual risk in large pineal tumors</w:t>
      </w:r>
    </w:p>
    <w:p>
      <w:pPr>
        <w:pStyle w:val="ListParagraph"/>
        <w:numPr>
          <w:ilvl w:val="0"/>
          <w:numId w:val="2"/>
        </w:numPr>
        <w:spacing w:after="80" w:line="264"/>
      </w:pPr>
      <w:r>
        <w:rPr>
          <w:b/>
          <w:bCs/>
        </w:rPr>
        <w:t xml:space="preserve">Incisural crowding. </w:t>
      </w:r>
      <w:r>
        <w:t xml:space="preserve">A large mass sitting in the quadrigeminal cistern and tentorial notch can efface the ambient, quadrigeminal and superior cerebellar cisterns. This creates a potential supra- versus infratentorial cisternal gradient that is independent of ventricular size.</w:t>
      </w:r>
    </w:p>
    <w:p>
      <w:pPr>
        <w:pStyle w:val="ListParagraph"/>
        <w:numPr>
          <w:ilvl w:val="0"/>
          <w:numId w:val="2"/>
        </w:numPr>
        <w:spacing w:after="80" w:line="264"/>
      </w:pPr>
      <w:r>
        <w:rPr>
          <w:b/>
          <w:bCs/>
        </w:rPr>
        <w:t xml:space="preserve">Posterior fossa compression. </w:t>
      </w:r>
      <w:r>
        <w:t xml:space="preserve">Downward extension compresses the vermis and fourth ventricle and can cause tonsillar descent. Gower et al. (1987) identified obliteration of the fourth ventricle, and obliteration of the superior cerebellar and quadrigeminal cisterns with the ambient cisterns spared, as CT contraindications to LP. These are exactly the findings a large pineal tumor can produce.</w:t>
      </w:r>
    </w:p>
    <w:p>
      <w:pPr>
        <w:pStyle w:val="ListParagraph"/>
        <w:numPr>
          <w:ilvl w:val="0"/>
          <w:numId w:val="2"/>
        </w:numPr>
        <w:spacing w:after="80" w:line="264"/>
      </w:pPr>
      <w:r>
        <w:rPr>
          <w:b/>
          <w:bCs/>
        </w:rPr>
        <w:t xml:space="preserve">Early or delayed stoma failure. </w:t>
      </w:r>
      <w:r>
        <w:t xml:space="preserve">Stoma occlusion by hemorrhage, debris or tumor (more likely after a combined biopsy, especially in vascular NGGCTs or pineoblastoma) can re-establish obstruction. Delayed deterioration as late as post-operative day 7 has been reported.</w:t>
      </w:r>
    </w:p>
    <w:p>
      <w:pPr>
        <w:pStyle w:val="ListParagraph"/>
        <w:numPr>
          <w:ilvl w:val="0"/>
          <w:numId w:val="2"/>
        </w:numPr>
        <w:spacing w:after="80" w:line="264"/>
      </w:pPr>
      <w:r>
        <w:rPr>
          <w:b/>
          <w:bCs/>
        </w:rPr>
        <w:t xml:space="preserve">Post-biopsy swelling or hemorrhage. </w:t>
      </w:r>
      <w:r>
        <w:t xml:space="preserve">Intratumoral hemorrhage or edema after biopsy can enlarge the mass acutely. Fatal herniation from tumor hemorrhage after ETV has been described with posterior fossa tumors.</w:t>
      </w:r>
    </w:p>
    <w:p>
      <w:pPr>
        <w:pStyle w:val="Heading1"/>
      </w:pPr>
      <w:r>
        <w:t xml:space="preserve">2. Summary of Relevant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A6A6A6" w:sz="4"/>
              <w:left w:val="single" w:color="A6A6A6" w:sz="4"/>
              <w:bottom w:val="single" w:color="A6A6A6" w:sz="4"/>
              <w:right w:val="single" w:color="A6A6A6" w:sz="4"/>
            </w:tcBorders>
            <w:shd w:fill="1F4E79" w:color="auto" w:val="clear"/>
            <w:tcMar>
              <w:top w:type="dxa" w:w="80"/>
              <w:left w:type="dxa" w:w="110"/>
              <w:bottom w:type="dxa" w:w="80"/>
              <w:right w:type="dxa" w:w="110"/>
            </w:tcMar>
          </w:tcPr>
          <w:p>
            <w:pPr>
              <w:spacing w:after="40"/>
            </w:pPr>
            <w:r>
              <w:rPr>
                <w:b/>
                <w:bCs/>
                <w:color w:val="FFFFFF"/>
                <w:sz w:val="19"/>
                <w:szCs w:val="19"/>
              </w:rPr>
              <w:t xml:space="preserve">Source</w:t>
            </w:r>
          </w:p>
        </w:tc>
        <w:tc>
          <w:tcPr>
            <w:tcW w:type="dxa" w:w="3500"/>
            <w:tcBorders>
              <w:top w:val="single" w:color="A6A6A6" w:sz="4"/>
              <w:left w:val="single" w:color="A6A6A6" w:sz="4"/>
              <w:bottom w:val="single" w:color="A6A6A6" w:sz="4"/>
              <w:right w:val="single" w:color="A6A6A6" w:sz="4"/>
            </w:tcBorders>
            <w:shd w:fill="1F4E79" w:color="auto" w:val="clear"/>
            <w:tcMar>
              <w:top w:type="dxa" w:w="80"/>
              <w:left w:type="dxa" w:w="110"/>
              <w:bottom w:type="dxa" w:w="80"/>
              <w:right w:type="dxa" w:w="110"/>
            </w:tcMar>
          </w:tcPr>
          <w:p>
            <w:pPr>
              <w:spacing w:after="40"/>
            </w:pPr>
            <w:r>
              <w:rPr>
                <w:b/>
                <w:bCs/>
                <w:color w:val="FFFFFF"/>
                <w:sz w:val="19"/>
                <w:szCs w:val="19"/>
              </w:rPr>
              <w:t xml:space="preserve">Finding</w:t>
            </w:r>
          </w:p>
        </w:tc>
        <w:tc>
          <w:tcPr>
            <w:tcW w:type="dxa" w:w="3560"/>
            <w:tcBorders>
              <w:top w:val="single" w:color="A6A6A6" w:sz="4"/>
              <w:left w:val="single" w:color="A6A6A6" w:sz="4"/>
              <w:bottom w:val="single" w:color="A6A6A6" w:sz="4"/>
              <w:right w:val="single" w:color="A6A6A6" w:sz="4"/>
            </w:tcBorders>
            <w:shd w:fill="1F4E79" w:color="auto" w:val="clear"/>
            <w:tcMar>
              <w:top w:type="dxa" w:w="80"/>
              <w:left w:type="dxa" w:w="110"/>
              <w:bottom w:type="dxa" w:w="80"/>
              <w:right w:type="dxa" w:w="110"/>
            </w:tcMar>
          </w:tcPr>
          <w:p>
            <w:pPr>
              <w:spacing w:after="40"/>
            </w:pPr>
            <w:r>
              <w:rPr>
                <w:b/>
                <w:bCs/>
                <w:color w:val="FFFFFF"/>
                <w:sz w:val="19"/>
                <w:szCs w:val="19"/>
              </w:rPr>
              <w:t xml:space="preserve">Relevance to LP after ETV</w:t>
            </w:r>
          </w:p>
        </w:tc>
      </w:tr>
      <w:tr>
        <w:tc>
          <w:tcPr>
            <w:tcW w:type="dxa" w:w="230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pPr>
            <w:r>
              <w:rPr>
                <w:b w:val="false"/>
                <w:bCs w:val="false"/>
                <w:sz w:val="19"/>
                <w:szCs w:val="19"/>
              </w:rPr>
              <w:t xml:space="preserve">Cinalli et al., Neurosurgery 2006 (n = 64, pediatric)</w:t>
            </w:r>
          </w:p>
        </w:tc>
        <w:tc>
          <w:tcPr>
            <w:tcW w:type="dxa" w:w="350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pPr>
            <w:r>
              <w:rPr>
                <w:b w:val="false"/>
                <w:bCs w:val="false"/>
                <w:sz w:val="19"/>
                <w:szCs w:val="19"/>
              </w:rPr>
              <w:t xml:space="preserve">ICP was often transiently raised after ETV; 1–2 LPs usually normalized ICP and relieved symptoms.</w:t>
            </w:r>
          </w:p>
        </w:tc>
        <w:tc>
          <w:tcPr>
            <w:tcW w:type="dxa" w:w="356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pPr>
            <w:r>
              <w:rPr>
                <w:b w:val="false"/>
                <w:bCs w:val="false"/>
                <w:sz w:val="19"/>
                <w:szCs w:val="19"/>
              </w:rPr>
              <w:t xml:space="preserve">Supports the safety and utility of LP once a stoma is present. Not pineal-specific.</w:t>
            </w:r>
          </w:p>
        </w:tc>
      </w:tr>
      <w:tr>
        <w:tc>
          <w:tcPr>
            <w:tcW w:type="dxa" w:w="2300"/>
            <w:tcBorders>
              <w:top w:val="single" w:color="A6A6A6" w:sz="4"/>
              <w:left w:val="single" w:color="A6A6A6" w:sz="4"/>
              <w:bottom w:val="single" w:color="A6A6A6" w:sz="4"/>
              <w:right w:val="single" w:color="A6A6A6" w:sz="4"/>
            </w:tcBorders>
            <w:shd w:fill="F2F6FA" w:color="auto" w:val="clear"/>
            <w:tcMar>
              <w:top w:type="dxa" w:w="80"/>
              <w:left w:type="dxa" w:w="110"/>
              <w:bottom w:type="dxa" w:w="80"/>
              <w:right w:type="dxa" w:w="110"/>
            </w:tcMar>
          </w:tcPr>
          <w:p>
            <w:pPr>
              <w:spacing w:after="40"/>
            </w:pPr>
            <w:r>
              <w:rPr>
                <w:b w:val="false"/>
                <w:bCs w:val="false"/>
                <w:sz w:val="19"/>
                <w:szCs w:val="19"/>
              </w:rPr>
              <w:t xml:space="preserve">Gower et al., JNNP 1987</w:t>
            </w:r>
          </w:p>
        </w:tc>
        <w:tc>
          <w:tcPr>
            <w:tcW w:type="dxa" w:w="3500"/>
            <w:tcBorders>
              <w:top w:val="single" w:color="A6A6A6" w:sz="4"/>
              <w:left w:val="single" w:color="A6A6A6" w:sz="4"/>
              <w:bottom w:val="single" w:color="A6A6A6" w:sz="4"/>
              <w:right w:val="single" w:color="A6A6A6" w:sz="4"/>
            </w:tcBorders>
            <w:shd w:fill="F2F6FA" w:color="auto" w:val="clear"/>
            <w:tcMar>
              <w:top w:type="dxa" w:w="80"/>
              <w:left w:type="dxa" w:w="110"/>
              <w:bottom w:type="dxa" w:w="80"/>
              <w:right w:type="dxa" w:w="110"/>
            </w:tcMar>
          </w:tcPr>
          <w:p>
            <w:pPr>
              <w:spacing w:after="40"/>
            </w:pPr>
            <w:r>
              <w:rPr>
                <w:b w:val="false"/>
                <w:bCs w:val="false"/>
                <w:sz w:val="19"/>
                <w:szCs w:val="19"/>
              </w:rPr>
              <w:t xml:space="preserve">CT features predicting herniation after LP: midline shift; loss of suprachiasmatic/basilar cisterns; obliterated 4th ventricle; obliterated superior cerebellar and quadrigeminal cisterns.</w:t>
            </w:r>
          </w:p>
        </w:tc>
        <w:tc>
          <w:tcPr>
            <w:tcW w:type="dxa" w:w="3560"/>
            <w:tcBorders>
              <w:top w:val="single" w:color="A6A6A6" w:sz="4"/>
              <w:left w:val="single" w:color="A6A6A6" w:sz="4"/>
              <w:bottom w:val="single" w:color="A6A6A6" w:sz="4"/>
              <w:right w:val="single" w:color="A6A6A6" w:sz="4"/>
            </w:tcBorders>
            <w:shd w:fill="F2F6FA" w:color="auto" w:val="clear"/>
            <w:tcMar>
              <w:top w:type="dxa" w:w="80"/>
              <w:left w:type="dxa" w:w="110"/>
              <w:bottom w:type="dxa" w:w="80"/>
              <w:right w:type="dxa" w:w="110"/>
            </w:tcMar>
          </w:tcPr>
          <w:p>
            <w:pPr>
              <w:spacing w:after="40"/>
            </w:pPr>
            <w:r>
              <w:rPr>
                <w:b w:val="false"/>
                <w:bCs w:val="false"/>
                <w:sz w:val="19"/>
                <w:szCs w:val="19"/>
              </w:rPr>
              <w:t xml:space="preserve">Gives an imaging checklist that maps directly onto large pineal masses.</w:t>
            </w:r>
          </w:p>
        </w:tc>
      </w:tr>
      <w:tr>
        <w:tc>
          <w:tcPr>
            <w:tcW w:type="dxa" w:w="230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pPr>
            <w:r>
              <w:rPr>
                <w:b w:val="false"/>
                <w:bCs w:val="false"/>
                <w:sz w:val="19"/>
                <w:szCs w:val="19"/>
              </w:rPr>
              <w:t xml:space="preserve">Gajjar et al., JCO 1999</w:t>
            </w:r>
          </w:p>
        </w:tc>
        <w:tc>
          <w:tcPr>
            <w:tcW w:type="dxa" w:w="350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pPr>
            <w:r>
              <w:rPr>
                <w:b w:val="false"/>
                <w:bCs w:val="false"/>
                <w:sz w:val="19"/>
                <w:szCs w:val="19"/>
              </w:rPr>
              <w:t xml:space="preserve">Lumbar CSF detected leptomeningeal tumor more sensitively than ventricular (shunt) CSF.</w:t>
            </w:r>
          </w:p>
        </w:tc>
        <w:tc>
          <w:tcPr>
            <w:tcW w:type="dxa" w:w="356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pPr>
            <w:r>
              <w:rPr>
                <w:b w:val="false"/>
                <w:bCs w:val="false"/>
                <w:sz w:val="19"/>
                <w:szCs w:val="19"/>
              </w:rPr>
              <w:t xml:space="preserve">Explains why lumbar sampling is preferred for staging when it is safe.</w:t>
            </w:r>
          </w:p>
        </w:tc>
      </w:tr>
      <w:tr>
        <w:tc>
          <w:tcPr>
            <w:tcW w:type="dxa" w:w="2300"/>
            <w:tcBorders>
              <w:top w:val="single" w:color="A6A6A6" w:sz="4"/>
              <w:left w:val="single" w:color="A6A6A6" w:sz="4"/>
              <w:bottom w:val="single" w:color="A6A6A6" w:sz="4"/>
              <w:right w:val="single" w:color="A6A6A6" w:sz="4"/>
            </w:tcBorders>
            <w:shd w:fill="F2F6FA" w:color="auto" w:val="clear"/>
            <w:tcMar>
              <w:top w:type="dxa" w:w="80"/>
              <w:left w:type="dxa" w:w="110"/>
              <w:bottom w:type="dxa" w:w="80"/>
              <w:right w:type="dxa" w:w="110"/>
            </w:tcMar>
          </w:tcPr>
          <w:p>
            <w:pPr>
              <w:spacing w:after="40"/>
            </w:pPr>
            <w:r>
              <w:rPr>
                <w:b w:val="false"/>
                <w:bCs w:val="false"/>
                <w:sz w:val="19"/>
                <w:szCs w:val="19"/>
              </w:rPr>
              <w:t xml:space="preserve">SIOPE/ESCP CNS GCT guidance</w:t>
            </w:r>
          </w:p>
        </w:tc>
        <w:tc>
          <w:tcPr>
            <w:tcW w:type="dxa" w:w="3500"/>
            <w:tcBorders>
              <w:top w:val="single" w:color="A6A6A6" w:sz="4"/>
              <w:left w:val="single" w:color="A6A6A6" w:sz="4"/>
              <w:bottom w:val="single" w:color="A6A6A6" w:sz="4"/>
              <w:right w:val="single" w:color="A6A6A6" w:sz="4"/>
            </w:tcBorders>
            <w:shd w:fill="F2F6FA" w:color="auto" w:val="clear"/>
            <w:tcMar>
              <w:top w:type="dxa" w:w="80"/>
              <w:left w:type="dxa" w:w="110"/>
              <w:bottom w:type="dxa" w:w="80"/>
              <w:right w:type="dxa" w:w="110"/>
            </w:tcMar>
          </w:tcPr>
          <w:p>
            <w:pPr>
              <w:spacing w:after="40"/>
            </w:pPr>
            <w:r>
              <w:rPr>
                <w:b w:val="false"/>
                <w:bCs w:val="false"/>
                <w:sz w:val="19"/>
                <w:szCs w:val="19"/>
              </w:rPr>
              <w:t xml:space="preserve">Collect CSF at diversion if urgent; repeat lumbar cytology and markers once raised ICP is addressed, if safe. ETV preferred over shunt (peritoneal seeding).</w:t>
            </w:r>
          </w:p>
        </w:tc>
        <w:tc>
          <w:tcPr>
            <w:tcW w:type="dxa" w:w="3560"/>
            <w:tcBorders>
              <w:top w:val="single" w:color="A6A6A6" w:sz="4"/>
              <w:left w:val="single" w:color="A6A6A6" w:sz="4"/>
              <w:bottom w:val="single" w:color="A6A6A6" w:sz="4"/>
              <w:right w:val="single" w:color="A6A6A6" w:sz="4"/>
            </w:tcBorders>
            <w:shd w:fill="F2F6FA" w:color="auto" w:val="clear"/>
            <w:tcMar>
              <w:top w:type="dxa" w:w="80"/>
              <w:left w:type="dxa" w:w="110"/>
              <w:bottom w:type="dxa" w:w="80"/>
              <w:right w:type="dxa" w:w="110"/>
            </w:tcMar>
          </w:tcPr>
          <w:p>
            <w:pPr>
              <w:spacing w:after="40"/>
            </w:pPr>
            <w:r>
              <w:rPr>
                <w:b w:val="false"/>
                <w:bCs w:val="false"/>
                <w:sz w:val="19"/>
                <w:szCs w:val="19"/>
              </w:rPr>
              <w:t xml:space="preserve">Endorses post-ETV LP as optimal staging, conditional on safety.</w:t>
            </w:r>
          </w:p>
        </w:tc>
      </w:tr>
      <w:tr>
        <w:tc>
          <w:tcPr>
            <w:tcW w:type="dxa" w:w="230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pPr>
            <w:r>
              <w:rPr>
                <w:b w:val="false"/>
                <w:bCs w:val="false"/>
                <w:sz w:val="19"/>
                <w:szCs w:val="19"/>
              </w:rPr>
              <w:t xml:space="preserve">COG ACNS2321 (germinoma)</w:t>
            </w:r>
          </w:p>
        </w:tc>
        <w:tc>
          <w:tcPr>
            <w:tcW w:type="dxa" w:w="350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pPr>
            <w:r>
              <w:rPr>
                <w:b w:val="false"/>
                <w:bCs w:val="false"/>
                <w:sz w:val="19"/>
                <w:szCs w:val="19"/>
              </w:rPr>
              <w:t xml:space="preserve">Lumbar cytology ≥ 10 days after surgery (false positives earlier); LP after spine MRI; ventricular markers acceptable but lumbar preferred.</w:t>
            </w:r>
          </w:p>
        </w:tc>
        <w:tc>
          <w:tcPr>
            <w:tcW w:type="dxa" w:w="356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pPr>
            <w:r>
              <w:rPr>
                <w:b w:val="false"/>
                <w:bCs w:val="false"/>
                <w:sz w:val="19"/>
                <w:szCs w:val="19"/>
              </w:rPr>
              <w:t xml:space="preserve">Defines timing and sequencing.</w:t>
            </w:r>
          </w:p>
        </w:tc>
      </w:tr>
      <w:tr>
        <w:tc>
          <w:tcPr>
            <w:tcW w:type="dxa" w:w="2300"/>
            <w:tcBorders>
              <w:top w:val="single" w:color="A6A6A6" w:sz="4"/>
              <w:left w:val="single" w:color="A6A6A6" w:sz="4"/>
              <w:bottom w:val="single" w:color="A6A6A6" w:sz="4"/>
              <w:right w:val="single" w:color="A6A6A6" w:sz="4"/>
            </w:tcBorders>
            <w:shd w:fill="F2F6FA" w:color="auto" w:val="clear"/>
            <w:tcMar>
              <w:top w:type="dxa" w:w="80"/>
              <w:left w:type="dxa" w:w="110"/>
              <w:bottom w:type="dxa" w:w="80"/>
              <w:right w:type="dxa" w:w="110"/>
            </w:tcMar>
          </w:tcPr>
          <w:p>
            <w:pPr>
              <w:spacing w:after="40"/>
            </w:pPr>
            <w:r>
              <w:rPr>
                <w:b w:val="false"/>
                <w:bCs w:val="false"/>
                <w:sz w:val="19"/>
                <w:szCs w:val="19"/>
              </w:rPr>
              <w:t xml:space="preserve">Pineal ETV + biopsy series and case reports</w:t>
            </w:r>
          </w:p>
        </w:tc>
        <w:tc>
          <w:tcPr>
            <w:tcW w:type="dxa" w:w="3500"/>
            <w:tcBorders>
              <w:top w:val="single" w:color="A6A6A6" w:sz="4"/>
              <w:left w:val="single" w:color="A6A6A6" w:sz="4"/>
              <w:bottom w:val="single" w:color="A6A6A6" w:sz="4"/>
              <w:right w:val="single" w:color="A6A6A6" w:sz="4"/>
            </w:tcBorders>
            <w:shd w:fill="F2F6FA" w:color="auto" w:val="clear"/>
            <w:tcMar>
              <w:top w:type="dxa" w:w="80"/>
              <w:left w:type="dxa" w:w="110"/>
              <w:bottom w:type="dxa" w:w="80"/>
              <w:right w:type="dxa" w:w="110"/>
            </w:tcMar>
          </w:tcPr>
          <w:p>
            <w:pPr>
              <w:spacing w:after="40"/>
            </w:pPr>
            <w:r>
              <w:rPr>
                <w:b w:val="false"/>
                <w:bCs w:val="false"/>
                <w:sz w:val="19"/>
                <w:szCs w:val="19"/>
              </w:rPr>
              <w:t xml:space="preserve">Hemorrhage and stoma occlusion are recognized complications, especially in NGGCT.</w:t>
            </w:r>
          </w:p>
        </w:tc>
        <w:tc>
          <w:tcPr>
            <w:tcW w:type="dxa" w:w="3560"/>
            <w:tcBorders>
              <w:top w:val="single" w:color="A6A6A6" w:sz="4"/>
              <w:left w:val="single" w:color="A6A6A6" w:sz="4"/>
              <w:bottom w:val="single" w:color="A6A6A6" w:sz="4"/>
              <w:right w:val="single" w:color="A6A6A6" w:sz="4"/>
            </w:tcBorders>
            <w:shd w:fill="F2F6FA" w:color="auto" w:val="clear"/>
            <w:tcMar>
              <w:top w:type="dxa" w:w="80"/>
              <w:left w:type="dxa" w:w="110"/>
              <w:bottom w:type="dxa" w:w="80"/>
              <w:right w:type="dxa" w:w="110"/>
            </w:tcMar>
          </w:tcPr>
          <w:p>
            <w:pPr>
              <w:spacing w:after="40"/>
            </w:pPr>
            <w:r>
              <w:rPr>
                <w:b w:val="false"/>
                <w:bCs w:val="false"/>
                <w:sz w:val="19"/>
                <w:szCs w:val="19"/>
              </w:rPr>
              <w:t xml:space="preserve">Confirm stoma patency before relying on communicating physiology.</w:t>
            </w:r>
          </w:p>
        </w:tc>
      </w:tr>
      <w:tr>
        <w:tc>
          <w:tcPr>
            <w:tcW w:type="dxa" w:w="230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pPr>
            <w:r>
              <w:rPr>
                <w:b w:val="false"/>
                <w:bCs w:val="false"/>
                <w:sz w:val="19"/>
                <w:szCs w:val="19"/>
              </w:rPr>
              <w:t xml:space="preserve">Posterior fossa EVD/LP literature</w:t>
            </w:r>
          </w:p>
        </w:tc>
        <w:tc>
          <w:tcPr>
            <w:tcW w:type="dxa" w:w="350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pPr>
            <w:r>
              <w:rPr>
                <w:b w:val="false"/>
                <w:bCs w:val="false"/>
                <w:sz w:val="19"/>
                <w:szCs w:val="19"/>
              </w:rPr>
              <w:t xml:space="preserve">Pre-existing herniation is common with obstructive posterior fossa masses; paradoxical herniation after LP has been reported.</w:t>
            </w:r>
          </w:p>
        </w:tc>
        <w:tc>
          <w:tcPr>
            <w:tcW w:type="dxa" w:w="356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pPr>
            <w:r>
              <w:rPr>
                <w:b w:val="false"/>
                <w:bCs w:val="false"/>
                <w:sz w:val="19"/>
                <w:szCs w:val="19"/>
              </w:rPr>
              <w:t xml:space="preserve">Reinforces caution when posterior fossa crowding is present.</w:t>
            </w:r>
          </w:p>
        </w:tc>
      </w:tr>
    </w:tbl>
    <w:p>
      <w:pPr>
        <w:pStyle w:val="Heading1"/>
      </w:pPr>
      <w:r>
        <w:t xml:space="preserve">3. Risk Stratification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1F4E79" w:color="auto" w:val="clear"/>
            <w:tcMar>
              <w:top w:type="dxa" w:w="80"/>
              <w:left w:type="dxa" w:w="110"/>
              <w:bottom w:type="dxa" w:w="80"/>
              <w:right w:type="dxa" w:w="110"/>
            </w:tcMar>
          </w:tcPr>
          <w:p>
            <w:pPr>
              <w:spacing w:after="40"/>
            </w:pPr>
            <w:r>
              <w:rPr>
                <w:b/>
                <w:bCs/>
                <w:color w:val="FFFFFF"/>
                <w:sz w:val="19"/>
                <w:szCs w:val="19"/>
              </w:rPr>
              <w:t xml:space="preserve">Favors safe LP</w:t>
            </w:r>
          </w:p>
        </w:tc>
        <w:tc>
          <w:tcPr>
            <w:tcW w:type="dxa" w:w="4680"/>
            <w:tcBorders>
              <w:top w:val="single" w:color="A6A6A6" w:sz="4"/>
              <w:left w:val="single" w:color="A6A6A6" w:sz="4"/>
              <w:bottom w:val="single" w:color="A6A6A6" w:sz="4"/>
              <w:right w:val="single" w:color="A6A6A6" w:sz="4"/>
            </w:tcBorders>
            <w:shd w:fill="1F4E79" w:color="auto" w:val="clear"/>
            <w:tcMar>
              <w:top w:type="dxa" w:w="80"/>
              <w:left w:type="dxa" w:w="110"/>
              <w:bottom w:type="dxa" w:w="80"/>
              <w:right w:type="dxa" w:w="110"/>
            </w:tcMar>
          </w:tcPr>
          <w:p>
            <w:pPr>
              <w:spacing w:after="40"/>
            </w:pPr>
            <w:r>
              <w:rPr>
                <w:b/>
                <w:bCs/>
                <w:color w:val="FFFFFF"/>
                <w:sz w:val="19"/>
                <w:szCs w:val="19"/>
              </w:rPr>
              <w:t xml:space="preserve">Raises risk: defer LP or use an alternative</w:t>
            </w:r>
          </w:p>
        </w:tc>
      </w:tr>
      <w:tr>
        <w:tc>
          <w:tcPr>
            <w:tcW w:type="dxa" w:w="468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pPr>
            <w:r>
              <w:rPr>
                <w:b w:val="false"/>
                <w:bCs w:val="false"/>
                <w:sz w:val="19"/>
                <w:szCs w:val="19"/>
              </w:rPr>
              <w:t xml:space="preserve">Clinical resolution of raised-ICP symptoms after ETV</w:t>
            </w:r>
          </w:p>
        </w:tc>
        <w:tc>
          <w:tcPr>
            <w:tcW w:type="dxa" w:w="468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pPr>
            <w:r>
              <w:rPr>
                <w:b w:val="false"/>
                <w:bCs w:val="false"/>
                <w:sz w:val="19"/>
                <w:szCs w:val="19"/>
              </w:rPr>
              <w:t xml:space="preserve">Persistent or recurrent headache, vomiting, papilledema, reduced consciousness, or a new deficit</w:t>
            </w:r>
          </w:p>
        </w:tc>
      </w:tr>
      <w:tr>
        <w:tc>
          <w:tcPr>
            <w:tcW w:type="dxa" w:w="4680"/>
            <w:tcBorders>
              <w:top w:val="single" w:color="A6A6A6" w:sz="4"/>
              <w:left w:val="single" w:color="A6A6A6" w:sz="4"/>
              <w:bottom w:val="single" w:color="A6A6A6" w:sz="4"/>
              <w:right w:val="single" w:color="A6A6A6" w:sz="4"/>
            </w:tcBorders>
            <w:shd w:fill="F2F6FA" w:color="auto" w:val="clear"/>
            <w:tcMar>
              <w:top w:type="dxa" w:w="80"/>
              <w:left w:type="dxa" w:w="110"/>
              <w:bottom w:type="dxa" w:w="80"/>
              <w:right w:type="dxa" w:w="110"/>
            </w:tcMar>
          </w:tcPr>
          <w:p>
            <w:pPr>
              <w:spacing w:after="40"/>
            </w:pPr>
            <w:r>
              <w:rPr>
                <w:b w:val="false"/>
                <w:bCs w:val="false"/>
                <w:sz w:val="19"/>
                <w:szCs w:val="19"/>
              </w:rPr>
              <w:t xml:space="preserve">Flow void through the stoma on T2, or patency on cine phase-contrast / 3D-CISS (FIESTA) MRI</w:t>
            </w:r>
          </w:p>
        </w:tc>
        <w:tc>
          <w:tcPr>
            <w:tcW w:type="dxa" w:w="4680"/>
            <w:tcBorders>
              <w:top w:val="single" w:color="A6A6A6" w:sz="4"/>
              <w:left w:val="single" w:color="A6A6A6" w:sz="4"/>
              <w:bottom w:val="single" w:color="A6A6A6" w:sz="4"/>
              <w:right w:val="single" w:color="A6A6A6" w:sz="4"/>
            </w:tcBorders>
            <w:shd w:fill="F2F6FA" w:color="auto" w:val="clear"/>
            <w:tcMar>
              <w:top w:type="dxa" w:w="80"/>
              <w:left w:type="dxa" w:w="110"/>
              <w:bottom w:type="dxa" w:w="80"/>
              <w:right w:type="dxa" w:w="110"/>
            </w:tcMar>
          </w:tcPr>
          <w:p>
            <w:pPr>
              <w:spacing w:after="40"/>
            </w:pPr>
            <w:r>
              <w:rPr>
                <w:b w:val="false"/>
                <w:bCs w:val="false"/>
                <w:sz w:val="19"/>
                <w:szCs w:val="19"/>
              </w:rPr>
              <w:t xml:space="preserve">No flow void; ventricles unchanged or enlarging; suspected stoma occlusion</w:t>
            </w:r>
          </w:p>
        </w:tc>
      </w:tr>
      <w:tr>
        <w:tc>
          <w:tcPr>
            <w:tcW w:type="dxa" w:w="468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pPr>
            <w:r>
              <w:rPr>
                <w:b w:val="false"/>
                <w:bCs w:val="false"/>
                <w:sz w:val="19"/>
                <w:szCs w:val="19"/>
              </w:rPr>
              <w:t xml:space="preserve">Patent basal, ambient, quadrigeminal and superior cerebellar cisterns</w:t>
            </w:r>
          </w:p>
        </w:tc>
        <w:tc>
          <w:tcPr>
            <w:tcW w:type="dxa" w:w="468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pPr>
            <w:r>
              <w:rPr>
                <w:b w:val="false"/>
                <w:bCs w:val="false"/>
                <w:sz w:val="19"/>
                <w:szCs w:val="19"/>
              </w:rPr>
              <w:t xml:space="preserve">Effaced quadrigeminal/ambient or superior cerebellar cisterns; tumor filling the incisura</w:t>
            </w:r>
          </w:p>
        </w:tc>
      </w:tr>
      <w:tr>
        <w:tc>
          <w:tcPr>
            <w:tcW w:type="dxa" w:w="4680"/>
            <w:tcBorders>
              <w:top w:val="single" w:color="A6A6A6" w:sz="4"/>
              <w:left w:val="single" w:color="A6A6A6" w:sz="4"/>
              <w:bottom w:val="single" w:color="A6A6A6" w:sz="4"/>
              <w:right w:val="single" w:color="A6A6A6" w:sz="4"/>
            </w:tcBorders>
            <w:shd w:fill="F2F6FA" w:color="auto" w:val="clear"/>
            <w:tcMar>
              <w:top w:type="dxa" w:w="80"/>
              <w:left w:type="dxa" w:w="110"/>
              <w:bottom w:type="dxa" w:w="80"/>
              <w:right w:type="dxa" w:w="110"/>
            </w:tcMar>
          </w:tcPr>
          <w:p>
            <w:pPr>
              <w:spacing w:after="40"/>
            </w:pPr>
            <w:r>
              <w:rPr>
                <w:b w:val="false"/>
                <w:bCs w:val="false"/>
                <w:sz w:val="19"/>
                <w:szCs w:val="19"/>
              </w:rPr>
              <w:t xml:space="preserve">Open fourth ventricle; tonsils in normal position</w:t>
            </w:r>
          </w:p>
        </w:tc>
        <w:tc>
          <w:tcPr>
            <w:tcW w:type="dxa" w:w="4680"/>
            <w:tcBorders>
              <w:top w:val="single" w:color="A6A6A6" w:sz="4"/>
              <w:left w:val="single" w:color="A6A6A6" w:sz="4"/>
              <w:bottom w:val="single" w:color="A6A6A6" w:sz="4"/>
              <w:right w:val="single" w:color="A6A6A6" w:sz="4"/>
            </w:tcBorders>
            <w:shd w:fill="F2F6FA" w:color="auto" w:val="clear"/>
            <w:tcMar>
              <w:top w:type="dxa" w:w="80"/>
              <w:left w:type="dxa" w:w="110"/>
              <w:bottom w:type="dxa" w:w="80"/>
              <w:right w:type="dxa" w:w="110"/>
            </w:tcMar>
          </w:tcPr>
          <w:p>
            <w:pPr>
              <w:spacing w:after="40"/>
            </w:pPr>
            <w:r>
              <w:rPr>
                <w:b w:val="false"/>
                <w:bCs w:val="false"/>
                <w:sz w:val="19"/>
                <w:szCs w:val="19"/>
              </w:rPr>
              <w:t xml:space="preserve">Compressed or obliterated fourth ventricle; tonsillar descent or crowded foramen magnum</w:t>
            </w:r>
          </w:p>
        </w:tc>
      </w:tr>
      <w:tr>
        <w:tc>
          <w:tcPr>
            <w:tcW w:type="dxa" w:w="468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pPr>
            <w:r>
              <w:rPr>
                <w:b w:val="false"/>
                <w:bCs w:val="false"/>
                <w:sz w:val="19"/>
                <w:szCs w:val="19"/>
              </w:rPr>
              <w:t xml:space="preserve">No midline shift; no significant peritumoral edema</w:t>
            </w:r>
          </w:p>
        </w:tc>
        <w:tc>
          <w:tcPr>
            <w:tcW w:type="dxa" w:w="468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pPr>
            <w:r>
              <w:rPr>
                <w:b w:val="false"/>
                <w:bCs w:val="false"/>
                <w:sz w:val="19"/>
                <w:szCs w:val="19"/>
              </w:rPr>
              <w:t xml:space="preserve">Midline shift; significant edema; mass effect on the brainstem</w:t>
            </w:r>
          </w:p>
        </w:tc>
      </w:tr>
      <w:tr>
        <w:tc>
          <w:tcPr>
            <w:tcW w:type="dxa" w:w="4680"/>
            <w:tcBorders>
              <w:top w:val="single" w:color="A6A6A6" w:sz="4"/>
              <w:left w:val="single" w:color="A6A6A6" w:sz="4"/>
              <w:bottom w:val="single" w:color="A6A6A6" w:sz="4"/>
              <w:right w:val="single" w:color="A6A6A6" w:sz="4"/>
            </w:tcBorders>
            <w:shd w:fill="F2F6FA" w:color="auto" w:val="clear"/>
            <w:tcMar>
              <w:top w:type="dxa" w:w="80"/>
              <w:left w:type="dxa" w:w="110"/>
              <w:bottom w:type="dxa" w:w="80"/>
              <w:right w:type="dxa" w:w="110"/>
            </w:tcMar>
          </w:tcPr>
          <w:p>
            <w:pPr>
              <w:spacing w:after="40"/>
            </w:pPr>
            <w:r>
              <w:rPr>
                <w:b w:val="false"/>
                <w:bCs w:val="false"/>
                <w:sz w:val="19"/>
                <w:szCs w:val="19"/>
              </w:rPr>
              <w:t xml:space="preserve">No new hemorrhage after biopsy</w:t>
            </w:r>
          </w:p>
        </w:tc>
        <w:tc>
          <w:tcPr>
            <w:tcW w:type="dxa" w:w="4680"/>
            <w:tcBorders>
              <w:top w:val="single" w:color="A6A6A6" w:sz="4"/>
              <w:left w:val="single" w:color="A6A6A6" w:sz="4"/>
              <w:bottom w:val="single" w:color="A6A6A6" w:sz="4"/>
              <w:right w:val="single" w:color="A6A6A6" w:sz="4"/>
            </w:tcBorders>
            <w:shd w:fill="F2F6FA" w:color="auto" w:val="clear"/>
            <w:tcMar>
              <w:top w:type="dxa" w:w="80"/>
              <w:left w:type="dxa" w:w="110"/>
              <w:bottom w:type="dxa" w:w="80"/>
              <w:right w:type="dxa" w:w="110"/>
            </w:tcMar>
          </w:tcPr>
          <w:p>
            <w:pPr>
              <w:spacing w:after="40"/>
            </w:pPr>
            <w:r>
              <w:rPr>
                <w:b w:val="false"/>
                <w:bCs w:val="false"/>
                <w:sz w:val="19"/>
                <w:szCs w:val="19"/>
              </w:rPr>
              <w:t xml:space="preserve">Intratumoral or intraventricular hemorrhage after biopsy</w:t>
            </w:r>
          </w:p>
        </w:tc>
      </w:tr>
      <w:tr>
        <w:tc>
          <w:tcPr>
            <w:tcW w:type="dxa" w:w="468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pPr>
            <w:r>
              <w:rPr>
                <w:b w:val="false"/>
                <w:bCs w:val="false"/>
                <w:sz w:val="19"/>
                <w:szCs w:val="19"/>
              </w:rPr>
              <w:t xml:space="preserve">Normal coagulation and platelets</w:t>
            </w:r>
          </w:p>
        </w:tc>
        <w:tc>
          <w:tcPr>
            <w:tcW w:type="dxa" w:w="4680"/>
            <w:tcBorders>
              <w:top w:val="single" w:color="A6A6A6" w:sz="4"/>
              <w:left w:val="single" w:color="A6A6A6" w:sz="4"/>
              <w:bottom w:val="single" w:color="A6A6A6" w:sz="4"/>
              <w:right w:val="single" w:color="A6A6A6" w:sz="4"/>
            </w:tcBorders>
            <w:tcMar>
              <w:top w:type="dxa" w:w="80"/>
              <w:left w:type="dxa" w:w="110"/>
              <w:bottom w:type="dxa" w:w="80"/>
              <w:right w:type="dxa" w:w="110"/>
            </w:tcMar>
          </w:tcPr>
          <w:p>
            <w:pPr>
              <w:spacing w:after="40"/>
            </w:pPr>
            <w:r>
              <w:rPr>
                <w:b w:val="false"/>
                <w:bCs w:val="false"/>
                <w:sz w:val="19"/>
                <w:szCs w:val="19"/>
              </w:rPr>
              <w:t xml:space="preserve">Coagulopathy, thrombocytopenia, or anticoagulation</w:t>
            </w:r>
          </w:p>
        </w:tc>
      </w:tr>
    </w:tbl>
    <w:p>
      <w:pPr>
        <w:pStyle w:val="Heading1"/>
      </w:pPr>
      <w:r>
        <w:t xml:space="preserve">4. Practical Recommendations</w:t>
      </w:r>
    </w:p>
    <w:p>
      <w:pPr>
        <w:pStyle w:val="Heading2"/>
      </w:pPr>
      <w:r>
        <w:t xml:space="preserve">Before the LP</w:t>
      </w:r>
    </w:p>
    <w:p>
      <w:pPr>
        <w:pStyle w:val="ListParagraph"/>
        <w:numPr>
          <w:ilvl w:val="0"/>
          <w:numId w:val="3"/>
        </w:numPr>
        <w:spacing w:after="80" w:line="264"/>
      </w:pPr>
      <w:r>
        <w:t xml:space="preserve">Confirm clinical success of the ETV: symptoms resolved and neurological examination stable or improved.</w:t>
      </w:r>
    </w:p>
    <w:p>
      <w:pPr>
        <w:pStyle w:val="ListParagraph"/>
        <w:numPr>
          <w:ilvl w:val="0"/>
          <w:numId w:val="3"/>
        </w:numPr>
        <w:spacing w:after="80" w:line="264"/>
      </w:pPr>
      <w:r>
        <w:t xml:space="preserve">Obtain post-ETV MRI. Confirm a stoma flow void or cine patency, check for hemorrhage, and review the cisterns and posterior fossa against the Gower criteria. Ventricular size can fall slowly after ETV, so judge success on clinical status and flow, not size alone.</w:t>
      </w:r>
    </w:p>
    <w:p>
      <w:pPr>
        <w:pStyle w:val="ListParagraph"/>
        <w:numPr>
          <w:ilvl w:val="0"/>
          <w:numId w:val="3"/>
        </w:numPr>
        <w:spacing w:after="80" w:line="264"/>
      </w:pPr>
      <w:r>
        <w:t xml:space="preserve">Complete spine MRI before the LP, because post-LP changes can confound interpretation of leptomeningeal disease.</w:t>
      </w:r>
    </w:p>
    <w:p>
      <w:pPr>
        <w:pStyle w:val="ListParagraph"/>
        <w:numPr>
          <w:ilvl w:val="0"/>
          <w:numId w:val="3"/>
        </w:numPr>
        <w:spacing w:after="80" w:line="264"/>
      </w:pPr>
      <w:r>
        <w:t xml:space="preserve">Time the cytology LP at least 10 days after surgery to avoid false-positive cytology (COG convention). An earlier LP for opening pressure or therapeutic drainage is acceptable if clinically indicated.</w:t>
      </w:r>
    </w:p>
    <w:p>
      <w:pPr>
        <w:pStyle w:val="ListParagraph"/>
        <w:numPr>
          <w:ilvl w:val="0"/>
          <w:numId w:val="3"/>
        </w:numPr>
        <w:spacing w:after="80" w:line="264"/>
      </w:pPr>
      <w:r>
        <w:t xml:space="preserve">If ventricular CSF was collected at ETV, send it for AFP/β-hCG (and cytology). It is acceptable for markers if lumbar CSF later proves unsafe.</w:t>
      </w:r>
    </w:p>
    <w:p>
      <w:pPr>
        <w:pStyle w:val="Heading2"/>
      </w:pPr>
      <w:r>
        <w:t xml:space="preserve">During the LP</w:t>
      </w:r>
    </w:p>
    <w:p>
      <w:pPr>
        <w:pStyle w:val="ListParagraph"/>
        <w:numPr>
          <w:ilvl w:val="0"/>
          <w:numId w:val="2"/>
        </w:numPr>
        <w:spacing w:after="80" w:line="264"/>
      </w:pPr>
      <w:r>
        <w:t xml:space="preserve">Lateral decubitus position, so opening pressure can be measured. Opening pressure functions as an indirect test of stoma function.</w:t>
      </w:r>
    </w:p>
    <w:p>
      <w:pPr>
        <w:pStyle w:val="ListParagraph"/>
        <w:numPr>
          <w:ilvl w:val="0"/>
          <w:numId w:val="2"/>
        </w:numPr>
        <w:spacing w:after="80" w:line="264"/>
      </w:pPr>
      <w:r>
        <w:t xml:space="preserve">Use a small-gauge atraumatic (pencil-point) needle to reduce the persistent leak that could lower spinal pressure over time.</w:t>
      </w:r>
    </w:p>
    <w:p>
      <w:pPr>
        <w:pStyle w:val="ListParagraph"/>
        <w:numPr>
          <w:ilvl w:val="0"/>
          <w:numId w:val="2"/>
        </w:numPr>
        <w:spacing w:after="80" w:line="264"/>
      </w:pPr>
      <w:r>
        <w:t xml:space="preserve">Collect slowly and remove only the volume needed for cytology and markers. Larger volumes improve cytologic yield, but take them gradually and avoid free drainage in borderline anatomy.</w:t>
      </w:r>
    </w:p>
    <w:p>
      <w:pPr>
        <w:pStyle w:val="ListParagraph"/>
        <w:numPr>
          <w:ilvl w:val="0"/>
          <w:numId w:val="2"/>
        </w:numPr>
        <w:spacing w:after="80" w:line="264"/>
      </w:pPr>
      <w:r>
        <w:t xml:space="preserve">Have neurosurgical backup available, with a low threshold for performing the procedure as an inpatient or under image guidance in higher-risk anatomy.</w:t>
      </w:r>
    </w:p>
    <w:p>
      <w:pPr>
        <w:pStyle w:val="Heading2"/>
      </w:pPr>
      <w:r>
        <w:t xml:space="preserve">After the LP</w:t>
      </w:r>
    </w:p>
    <w:p>
      <w:pPr>
        <w:pStyle w:val="ListParagraph"/>
        <w:numPr>
          <w:ilvl w:val="0"/>
          <w:numId w:val="2"/>
        </w:numPr>
        <w:spacing w:after="80" w:line="264"/>
      </w:pPr>
      <w:r>
        <w:t xml:space="preserve">Serial neurological checks for several hours, including pupils, level of consciousness, and lower cranial nerve and brainstem signs.</w:t>
      </w:r>
    </w:p>
    <w:p>
      <w:pPr>
        <w:pStyle w:val="ListParagraph"/>
        <w:numPr>
          <w:ilvl w:val="0"/>
          <w:numId w:val="2"/>
        </w:numPr>
        <w:spacing w:after="80" w:line="264"/>
      </w:pPr>
      <w:r>
        <w:t xml:space="preserve">Treat new headache with a positional component as possible post-dural-puncture headache, but image urgently for any deterioration, because stoma failure and herniation can mimic it.</w:t>
      </w:r>
    </w:p>
    <w:p>
      <w:pPr>
        <w:pStyle w:val="Heading2"/>
      </w:pPr>
      <w:r>
        <w:t xml:space="preserve">When LP is judged unsafe</w:t>
      </w:r>
    </w:p>
    <w:p>
      <w:pPr>
        <w:pStyle w:val="ListParagraph"/>
        <w:numPr>
          <w:ilvl w:val="0"/>
          <w:numId w:val="2"/>
        </w:numPr>
        <w:spacing w:after="80" w:line="264"/>
      </w:pPr>
      <w:r>
        <w:t xml:space="preserve">Rely on ventricular CSF from the ETV (tumor markers and cytology), together with serum AFP/β-hCG and full craniospinal MRI.</w:t>
      </w:r>
    </w:p>
    <w:p>
      <w:pPr>
        <w:pStyle w:val="ListParagraph"/>
        <w:numPr>
          <w:ilvl w:val="0"/>
          <w:numId w:val="2"/>
        </w:numPr>
        <w:spacing w:after="80" w:line="264"/>
      </w:pPr>
      <w:r>
        <w:t xml:space="preserve">Repeat the risk assessment after chemotherapy or debulking. Many germinomas and NGGCTs shrink rapidly, which often makes a later lumbar LP safe for restaging.</w:t>
      </w:r>
    </w:p>
    <w:p>
      <w:pPr>
        <w:pStyle w:val="ListParagraph"/>
        <w:numPr>
          <w:ilvl w:val="0"/>
          <w:numId w:val="2"/>
        </w:numPr>
        <w:spacing w:after="80" w:line="264"/>
      </w:pPr>
      <w:r>
        <w:t xml:space="preserve">Reservoir (Ommaya) sampling is an option where serial CSF is needed and the lumbar route remains contraindicated.</w:t>
      </w:r>
    </w:p>
    <w:p>
      <w:pPr>
        <w:pStyle w:val="Heading1"/>
      </w:pPr>
      <w:r>
        <w:t xml:space="preserve">5. Limitations and Open Questions</w:t>
      </w:r>
    </w:p>
    <w:p>
      <w:pPr>
        <w:pStyle w:val="ListParagraph"/>
        <w:numPr>
          <w:ilvl w:val="0"/>
          <w:numId w:val="2"/>
        </w:numPr>
        <w:spacing w:after="80" w:line="264"/>
      </w:pPr>
      <w:r>
        <w:t xml:space="preserve">No study stratifies LP complications after ETV by pineal tumor size or volume. A defined threshold (diameter or volume) for "large" pineal tumors that predicts herniation risk is lacking.</w:t>
      </w:r>
    </w:p>
    <w:p>
      <w:pPr>
        <w:pStyle w:val="ListParagraph"/>
        <w:numPr>
          <w:ilvl w:val="0"/>
          <w:numId w:val="2"/>
        </w:numPr>
        <w:spacing w:after="80" w:line="264"/>
      </w:pPr>
      <w:r>
        <w:t xml:space="preserve">The safety data come mainly from pediatric ETV populations of mixed etiology. Adult pineal tumors (pineal parenchymal tumors, papillary tumor of the pineal region, meningioma) are underrepresented.</w:t>
      </w:r>
    </w:p>
    <w:p>
      <w:pPr>
        <w:pStyle w:val="ListParagraph"/>
        <w:numPr>
          <w:ilvl w:val="0"/>
          <w:numId w:val="2"/>
        </w:numPr>
        <w:spacing w:after="80" w:line="264"/>
      </w:pPr>
      <w:r>
        <w:t xml:space="preserve">Concordance between ventricular and lumbar tumor markers after ETV is incompletely characterized. Current protocols prefer lumbar CSF but accept ventricular CSF.</w:t>
      </w:r>
    </w:p>
    <w:p>
      <w:pPr>
        <w:pStyle w:val="ListParagraph"/>
        <w:numPr>
          <w:ilvl w:val="0"/>
          <w:numId w:val="2"/>
        </w:numPr>
        <w:spacing w:after="80" w:line="264"/>
      </w:pPr>
      <w:r>
        <w:t xml:space="preserve">This would suit a research question: a retrospective multicenter series of post-ETV LPs in pineal tumors with standardized imaging scoring (cisternal effacement, fourth-ventricle compression, tonsillar position, tumor volume) and outcomes.</w:t>
      </w:r>
    </w:p>
    <w:p>
      <w:pPr>
        <w:pStyle w:val="Heading1"/>
      </w:pPr>
      <w:r>
        <w:t xml:space="preserve">References</w:t>
      </w:r>
    </w:p>
    <w:p>
      <w:pPr>
        <w:spacing w:after="80"/>
        <w:ind w:left="360" w:hanging="360"/>
      </w:pPr>
      <w:r>
        <w:rPr>
          <w:sz w:val="19"/>
          <w:szCs w:val="19"/>
        </w:rPr>
        <w:t xml:space="preserve">1.  Cinalli G, Spennato P, Ruggiero C, et al. Intracranial pressure monitoring and lumbar puncture after endoscopic third ventriculostomy in children. Neurosurgery. 2006;58(1):126–136. </w:t>
      </w:r>
      <w:hyperlink w:history="1" r:id="rIdwib7biupuokel9hnbxxh-">
        <w:r>
          <w:rPr>
            <w:rStyle w:val="Hyperlink"/>
            <w:sz w:val="19"/>
            <w:szCs w:val="19"/>
          </w:rPr>
          <w:t xml:space="preserve">https://pubmed.ncbi.nlm.nih.gov/16385337/</w:t>
        </w:r>
      </w:hyperlink>
    </w:p>
    <w:p>
      <w:pPr>
        <w:spacing w:after="80"/>
        <w:ind w:left="360" w:hanging="360"/>
      </w:pPr>
      <w:r>
        <w:rPr>
          <w:sz w:val="19"/>
          <w:szCs w:val="19"/>
        </w:rPr>
        <w:t xml:space="preserve">2.  Gower DJ, Baker AL, Bell WO, Ball MR. Contraindications to lumbar puncture as defined by computed cranial tomography. J Neurol Neurosurg Psychiatry. 1987;50(8):1071–1074. </w:t>
      </w:r>
      <w:hyperlink w:history="1" r:id="rIdkfixn0gptz9tj_c9lykvw">
        <w:r>
          <w:rPr>
            <w:rStyle w:val="Hyperlink"/>
            <w:sz w:val="19"/>
            <w:szCs w:val="19"/>
          </w:rPr>
          <w:t xml:space="preserve">https://jnnp.bmj.com/content/50/8/1071</w:t>
        </w:r>
      </w:hyperlink>
    </w:p>
    <w:p>
      <w:pPr>
        <w:spacing w:after="80"/>
        <w:ind w:left="360" w:hanging="360"/>
      </w:pPr>
      <w:r>
        <w:rPr>
          <w:sz w:val="19"/>
          <w:szCs w:val="19"/>
        </w:rPr>
        <w:t xml:space="preserve">3.  Gajjar A, Fouladi M, Walter AW, et al. Comparison of lumbar and shunt cerebrospinal fluid specimens for cytologic detection of leptomeningeal disease in pediatric patients with brain tumors. J Clin Oncol. 1999;17(6):1825–1828.</w:t>
      </w:r>
    </w:p>
    <w:p>
      <w:pPr>
        <w:spacing w:after="80"/>
        <w:ind w:left="360" w:hanging="360"/>
      </w:pPr>
      <w:r>
        <w:rPr>
          <w:sz w:val="19"/>
          <w:szCs w:val="19"/>
        </w:rPr>
        <w:t xml:space="preserve">4.  European Society for Paediatric Oncology (SIOPE) / ESCP. Childhood Intracranial Germ Cell Tumours — clinical practice guidance. </w:t>
      </w:r>
      <w:hyperlink w:history="1" r:id="rIdojutvwgbw64sj7xiwgkmb">
        <w:r>
          <w:rPr>
            <w:rStyle w:val="Hyperlink"/>
            <w:sz w:val="19"/>
            <w:szCs w:val="19"/>
          </w:rPr>
          <w:t xml:space="preserve">https://siope.eu/media/documents/escp-childhood-intracranial-germ-cell-tumours.pdf</w:t>
        </w:r>
      </w:hyperlink>
    </w:p>
    <w:p>
      <w:pPr>
        <w:spacing w:after="80"/>
        <w:ind w:left="360" w:hanging="360"/>
      </w:pPr>
      <w:r>
        <w:rPr>
          <w:sz w:val="19"/>
          <w:szCs w:val="19"/>
        </w:rPr>
        <w:t xml:space="preserve">5.  Children’s Oncology Group ACNS2321 (NCT06368817) — eligibility/staging requirements for CNS germinoma (CSF timing, sequencing with spine MRI, ventricular vs lumbar markers). </w:t>
      </w:r>
      <w:hyperlink w:history="1" r:id="rIdaelobcwa5ivzbsfngtsaa">
        <w:r>
          <w:rPr>
            <w:rStyle w:val="Hyperlink"/>
            <w:sz w:val="19"/>
            <w:szCs w:val="19"/>
          </w:rPr>
          <w:t xml:space="preserve">https://trials.cancervic.org.au/details/vctl_nct06368817</w:t>
        </w:r>
      </w:hyperlink>
    </w:p>
    <w:p>
      <w:pPr>
        <w:spacing w:after="80"/>
        <w:ind w:left="360" w:hanging="360"/>
      </w:pPr>
      <w:r>
        <w:rPr>
          <w:sz w:val="19"/>
          <w:szCs w:val="19"/>
        </w:rPr>
        <w:t xml:space="preserve">6.  Primary CNS germ cell tumors in children and young adults: a review of controversies in diagnostic and treatment approach (review, PMC9772847). </w:t>
      </w:r>
      <w:hyperlink w:history="1" r:id="rIdeyp2fxiq0ygz40pk81jqh">
        <w:r>
          <w:rPr>
            <w:rStyle w:val="Hyperlink"/>
            <w:sz w:val="19"/>
            <w:szCs w:val="19"/>
          </w:rPr>
          <w:t xml:space="preserve">https://pmc.ncbi.nlm.nih.gov/articles/PMC9772847/</w:t>
        </w:r>
      </w:hyperlink>
    </w:p>
    <w:p>
      <w:pPr>
        <w:spacing w:after="80"/>
        <w:ind w:left="360" w:hanging="360"/>
      </w:pPr>
      <w:r>
        <w:rPr>
          <w:sz w:val="19"/>
          <w:szCs w:val="19"/>
        </w:rPr>
        <w:t xml:space="preserve">7.  Combined endoscopic third ventriculostomy and tumor biopsy in the management of pineal region tumors, safety considerations. Egypt J Neurosurg. 2018. </w:t>
      </w:r>
      <w:hyperlink w:history="1" r:id="rIdhhf81ihbdm6epdrqlmede">
        <w:r>
          <w:rPr>
            <w:rStyle w:val="Hyperlink"/>
            <w:sz w:val="19"/>
            <w:szCs w:val="19"/>
          </w:rPr>
          <w:t xml:space="preserve">https://link.springer.com/article/10.1186/s41984-018-0022-7</w:t>
        </w:r>
      </w:hyperlink>
    </w:p>
    <w:p>
      <w:pPr>
        <w:spacing w:after="80"/>
        <w:ind w:left="360" w:hanging="360"/>
      </w:pPr>
      <w:r>
        <w:rPr>
          <w:sz w:val="19"/>
          <w:szCs w:val="19"/>
        </w:rPr>
        <w:t xml:space="preserve">8.  Endoscopic biopsy during third ventriculostomy in paediatric pineal region tumours. Childs Nerv Syst. 2008. </w:t>
      </w:r>
      <w:hyperlink w:history="1" r:id="rId1hzlhddcojwuaeuszewbl">
        <w:r>
          <w:rPr>
            <w:rStyle w:val="Hyperlink"/>
            <w:sz w:val="19"/>
            <w:szCs w:val="19"/>
          </w:rPr>
          <w:t xml:space="preserve">https://link.springer.com/article/10.1007/s00381-008-0632-6</w:t>
        </w:r>
      </w:hyperlink>
    </w:p>
    <w:p>
      <w:pPr>
        <w:spacing w:after="80"/>
        <w:ind w:left="360" w:hanging="360"/>
      </w:pPr>
      <w:r>
        <w:rPr>
          <w:sz w:val="19"/>
          <w:szCs w:val="19"/>
        </w:rPr>
        <w:t xml:space="preserve">9.  Neuroendoscopic management of posterior third ventricle and pineal region tumors: technique, limitation, and possible complication avoidance. Neurosurg Rev. 2012. </w:t>
      </w:r>
      <w:hyperlink w:history="1" r:id="rIdu7fhbdvqk-effpef2b11e">
        <w:r>
          <w:rPr>
            <w:rStyle w:val="Hyperlink"/>
            <w:sz w:val="19"/>
            <w:szCs w:val="19"/>
          </w:rPr>
          <w:t xml:space="preserve">https://link.springer.com/article/10.1007/s10143-011-0370-1</w:t>
        </w:r>
      </w:hyperlink>
    </w:p>
    <w:p>
      <w:pPr>
        <w:spacing w:after="80"/>
        <w:ind w:left="360" w:hanging="360"/>
      </w:pPr>
      <w:r>
        <w:rPr>
          <w:sz w:val="19"/>
          <w:szCs w:val="19"/>
        </w:rPr>
        <w:t xml:space="preserve">10.  A case of nongerminomatous germ cell tumor of the pineal region: risks and advantages of biopsy by endoscopic approach (post-ETV hemorrhage and stoma occlusion). </w:t>
      </w:r>
      <w:hyperlink w:history="1" r:id="rIdnfh9oymzrdtcnaflqip5q">
        <w:r>
          <w:rPr>
            <w:rStyle w:val="Hyperlink"/>
            <w:sz w:val="19"/>
            <w:szCs w:val="19"/>
          </w:rPr>
          <w:t xml:space="preserve">https://www.ncbi.nlm.nih.gov/pmc/articles/PMC5866897/</w:t>
        </w:r>
      </w:hyperlink>
    </w:p>
    <w:p>
      <w:pPr>
        <w:spacing w:after="80"/>
        <w:ind w:left="360" w:hanging="360"/>
      </w:pPr>
      <w:r>
        <w:rPr>
          <w:sz w:val="19"/>
          <w:szCs w:val="19"/>
        </w:rPr>
        <w:t xml:space="preserve">11.  A case of rapid deterioration in a subacute period after endoscopic third ventriculostomy (delayed ETV failure, day 7). </w:t>
      </w:r>
      <w:hyperlink w:history="1" r:id="rIda8vj81olnzav-juam_t17">
        <w:r>
          <w:rPr>
            <w:rStyle w:val="Hyperlink"/>
            <w:sz w:val="19"/>
            <w:szCs w:val="19"/>
          </w:rPr>
          <w:t xml:space="preserve">https://pubmed.ncbi.nlm.nih.gov/33605824/</w:t>
        </w:r>
      </w:hyperlink>
    </w:p>
    <w:p>
      <w:pPr>
        <w:spacing w:after="80"/>
        <w:ind w:left="360" w:hanging="360"/>
      </w:pPr>
      <w:r>
        <w:rPr>
          <w:sz w:val="19"/>
          <w:szCs w:val="19"/>
        </w:rPr>
        <w:t xml:space="preserve">12.  Upward herniation in obstructive hydrocephalus from posterior fossa lesions before/after EVD placement (radiographic upward herniation in 22/25 pre-EVD). Neurocrit Care. 2018. </w:t>
      </w:r>
      <w:hyperlink w:history="1" r:id="rIdk26hd378wkworocihwnti">
        <w:r>
          <w:rPr>
            <w:rStyle w:val="Hyperlink"/>
            <w:sz w:val="19"/>
            <w:szCs w:val="19"/>
          </w:rPr>
          <w:t xml:space="preserve">https://link.springer.com/doi/10.1007/s12028-017-0487-3</w:t>
        </w:r>
      </w:hyperlink>
    </w:p>
    <w:p>
      <w:pPr>
        <w:spacing w:after="80"/>
        <w:ind w:left="360" w:hanging="360"/>
      </w:pPr>
      <w:r>
        <w:rPr>
          <w:sz w:val="19"/>
          <w:szCs w:val="19"/>
        </w:rPr>
        <w:t xml:space="preserve">13.  Sudden paradoxical herniation after lumbar puncture in patients with postoperative hydrocephalus. BMC Neurol. 2017. </w:t>
      </w:r>
      <w:hyperlink w:history="1" r:id="rIdh7t9gpkad2wu9fraolsa4">
        <w:r>
          <w:rPr>
            <w:rStyle w:val="Hyperlink"/>
            <w:sz w:val="19"/>
            <w:szCs w:val="19"/>
          </w:rPr>
          <w:t xml:space="preserve">https://bmcneurol.biomedcentral.com/track/pdf/10.1186/s12883-017-0931-1</w:t>
        </w:r>
      </w:hyperlink>
    </w:p>
    <w:p>
      <w:pPr>
        <w:spacing w:after="80"/>
        <w:ind w:left="360" w:hanging="360"/>
      </w:pPr>
      <w:r>
        <w:rPr>
          <w:sz w:val="19"/>
          <w:szCs w:val="19"/>
        </w:rPr>
        <w:t xml:space="preserve">14.  Simultaneous biportal endoscopic management of pineal region tumors in patients with obstructive hydrocephalus: technical notes. Chin Neurosurg J. 2022. </w:t>
      </w:r>
      <w:hyperlink w:history="1" r:id="rIduu-5qyoffzziik9pkzyd2">
        <w:r>
          <w:rPr>
            <w:rStyle w:val="Hyperlink"/>
            <w:sz w:val="19"/>
            <w:szCs w:val="19"/>
          </w:rPr>
          <w:t xml:space="preserve">https://link.springer.com/article/10.1186/s41016-022-00313-0</w:t>
        </w:r>
      </w:hyperlink>
    </w:p>
    <w:p>
      <w:pPr>
        <w:spacing w:before="240"/>
      </w:pPr>
      <w:r>
        <w:rPr>
          <w:i/>
          <w:iCs/>
          <w:color w:val="7F7F7F"/>
          <w:sz w:val="18"/>
          <w:szCs w:val="18"/>
        </w:rPr>
        <w:t xml:space="preserve">This brief summarizes published literature and consensus practice for professional reference. It is not a substitute for patient-specific neurosurgical judgment.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LP after ETV in pineal region tumors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F4E79"/>
      <w:sz w:val="40"/>
      <w:szCs w:val="40"/>
    </w:rPr>
  </w:style>
  <w:style w:type="paragraph" w:styleId="Heading1">
    <w:name w:val="Heading 1"/>
    <w:basedOn w:val="Normal"/>
    <w:next w:val="Normal"/>
    <w:qFormat/>
    <w:pPr>
      <w:spacing w:after="120" w:before="30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ib7biupuokel9hnbxxh-" Type="http://schemas.openxmlformats.org/officeDocument/2006/relationships/hyperlink" Target="https://pubmed.ncbi.nlm.nih.gov/16385337/" TargetMode="External"/><Relationship Id="rIdkfixn0gptz9tj_c9lykvw" Type="http://schemas.openxmlformats.org/officeDocument/2006/relationships/hyperlink" Target="https://jnnp.bmj.com/content/50/8/1071" TargetMode="External"/><Relationship Id="rIdojutvwgbw64sj7xiwgkmb" Type="http://schemas.openxmlformats.org/officeDocument/2006/relationships/hyperlink" Target="https://siope.eu/media/documents/escp-childhood-intracranial-germ-cell-tumours.pdf" TargetMode="External"/><Relationship Id="rIdaelobcwa5ivzbsfngtsaa" Type="http://schemas.openxmlformats.org/officeDocument/2006/relationships/hyperlink" Target="https://trials.cancervic.org.au/details/vctl_nct06368817" TargetMode="External"/><Relationship Id="rIdeyp2fxiq0ygz40pk81jqh" Type="http://schemas.openxmlformats.org/officeDocument/2006/relationships/hyperlink" Target="https://pmc.ncbi.nlm.nih.gov/articles/PMC9772847/" TargetMode="External"/><Relationship Id="rIdhhf81ihbdm6epdrqlmede" Type="http://schemas.openxmlformats.org/officeDocument/2006/relationships/hyperlink" Target="https://link.springer.com/article/10.1186/s41984-018-0022-7" TargetMode="External"/><Relationship Id="rId1hzlhddcojwuaeuszewbl" Type="http://schemas.openxmlformats.org/officeDocument/2006/relationships/hyperlink" Target="https://link.springer.com/article/10.1007/s00381-008-0632-6" TargetMode="External"/><Relationship Id="rIdu7fhbdvqk-effpef2b11e" Type="http://schemas.openxmlformats.org/officeDocument/2006/relationships/hyperlink" Target="https://link.springer.com/article/10.1007/s10143-011-0370-1" TargetMode="External"/><Relationship Id="rIdnfh9oymzrdtcnaflqip5q" Type="http://schemas.openxmlformats.org/officeDocument/2006/relationships/hyperlink" Target="https://www.ncbi.nlm.nih.gov/pmc/articles/PMC5866897/" TargetMode="External"/><Relationship Id="rIda8vj81olnzav-juam_t17" Type="http://schemas.openxmlformats.org/officeDocument/2006/relationships/hyperlink" Target="https://pubmed.ncbi.nlm.nih.gov/33605824/" TargetMode="External"/><Relationship Id="rIdk26hd378wkworocihwnti" Type="http://schemas.openxmlformats.org/officeDocument/2006/relationships/hyperlink" Target="https://link.springer.com/doi/10.1007/s12028-017-0487-3" TargetMode="External"/><Relationship Id="rIdh7t9gpkad2wu9fraolsa4" Type="http://schemas.openxmlformats.org/officeDocument/2006/relationships/hyperlink" Target="https://bmcneurol.biomedcentral.com/track/pdf/10.1186/s12883-017-0931-1" TargetMode="External"/><Relationship Id="rIduu-5qyoffzziik9pkzyd2" Type="http://schemas.openxmlformats.org/officeDocument/2006/relationships/hyperlink" Target="https://link.springer.com/article/10.1186/s41016-022-00313-0"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of LP After ETV in Large Pineal Region Tumors</dc:title>
  <dc:creator>Claude</dc:creator>
  <cp:lastModifiedBy>Un-named</cp:lastModifiedBy>
  <cp:revision>1</cp:revision>
  <dcterms:created xsi:type="dcterms:W3CDTF">2026-10-28T01:23:48.128Z</dcterms:created>
  <dcterms:modified xsi:type="dcterms:W3CDTF">2026-10-28T01:23:48.128Z</dcterms:modified>
</cp:coreProperties>
</file>

<file path=docProps/custom.xml><?xml version="1.0" encoding="utf-8"?>
<Properties xmlns="http://schemas.openxmlformats.org/officeDocument/2006/custom-properties" xmlns:vt="http://schemas.openxmlformats.org/officeDocument/2006/docPropsVTypes"/>
</file>