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70C09" w14:textId="796B62F7" w:rsidR="00EF0D2F" w:rsidRPr="00777385" w:rsidRDefault="00EF0D2F" w:rsidP="00EF0D2F">
      <w:pPr>
        <w:tabs>
          <w:tab w:val="left" w:pos="7650"/>
        </w:tabs>
        <w:rPr>
          <w:b/>
          <w:bCs/>
          <w:sz w:val="32"/>
          <w:szCs w:val="32"/>
        </w:rPr>
      </w:pPr>
      <w:r w:rsidRPr="00777385">
        <w:rPr>
          <w:b/>
          <w:bCs/>
          <w:sz w:val="32"/>
          <w:szCs w:val="32"/>
        </w:rPr>
        <w:t xml:space="preserve">Client &amp; Departmental Analysis </w:t>
      </w:r>
    </w:p>
    <w:p w14:paraId="74E59540" w14:textId="46C58283" w:rsidR="00EF0D2F" w:rsidRPr="0013370B" w:rsidRDefault="00EF0D2F" w:rsidP="00EF0D2F">
      <w:pPr>
        <w:tabs>
          <w:tab w:val="left" w:pos="7650"/>
        </w:tabs>
      </w:pPr>
      <w:r w:rsidRPr="0013370B">
        <w:t xml:space="preserve">In every organization, numbers tell a story, and in this case, the story begins with a </w:t>
      </w:r>
      <w:r w:rsidRPr="0013370B">
        <w:rPr>
          <w:b/>
          <w:bCs/>
        </w:rPr>
        <w:t>bird’s-eye view of client engagement and departmental performance</w:t>
      </w:r>
      <w:r w:rsidRPr="0013370B">
        <w:t xml:space="preserve">. Our analysis, visualized in an interactive dashboard, captures a client frequency of </w:t>
      </w:r>
      <w:r w:rsidRPr="0013370B">
        <w:rPr>
          <w:b/>
          <w:bCs/>
        </w:rPr>
        <w:t>48,000</w:t>
      </w:r>
      <w:r w:rsidRPr="0013370B">
        <w:t xml:space="preserve">, a total revenue of </w:t>
      </w:r>
      <w:r w:rsidRPr="0013370B">
        <w:rPr>
          <w:b/>
          <w:bCs/>
        </w:rPr>
        <w:t>₦195</w:t>
      </w:r>
      <w:r w:rsidR="00FF74B4">
        <w:rPr>
          <w:b/>
          <w:bCs/>
        </w:rPr>
        <w:t>,320,000</w:t>
      </w:r>
      <w:r w:rsidRPr="0013370B">
        <w:rPr>
          <w:b/>
          <w:bCs/>
        </w:rPr>
        <w:t xml:space="preserve"> million</w:t>
      </w:r>
      <w:r w:rsidRPr="0013370B">
        <w:t xml:space="preserve">, an accumulated hourly rate of </w:t>
      </w:r>
      <w:r w:rsidRPr="0013370B">
        <w:rPr>
          <w:b/>
          <w:bCs/>
        </w:rPr>
        <w:t>4</w:t>
      </w:r>
      <w:r w:rsidR="00FD3ABF">
        <w:rPr>
          <w:b/>
          <w:bCs/>
        </w:rPr>
        <w:t>3</w:t>
      </w:r>
      <w:r w:rsidRPr="0013370B">
        <w:rPr>
          <w:b/>
          <w:bCs/>
        </w:rPr>
        <w:t xml:space="preserve"> million</w:t>
      </w:r>
      <w:r w:rsidRPr="0013370B">
        <w:t xml:space="preserve">, and a </w:t>
      </w:r>
      <w:r w:rsidR="00FD3ABF">
        <w:t>sum of total</w:t>
      </w:r>
      <w:r w:rsidRPr="0013370B">
        <w:t xml:space="preserve"> hour </w:t>
      </w:r>
      <w:r w:rsidR="00FD3ABF">
        <w:t xml:space="preserve">is </w:t>
      </w:r>
      <w:r w:rsidRPr="0013370B">
        <w:rPr>
          <w:b/>
          <w:bCs/>
        </w:rPr>
        <w:t>217,000</w:t>
      </w:r>
      <w:r w:rsidR="00FD3ABF">
        <w:rPr>
          <w:b/>
          <w:bCs/>
        </w:rPr>
        <w:t xml:space="preserve"> hours</w:t>
      </w:r>
      <w:r w:rsidRPr="0013370B">
        <w:t>.</w:t>
      </w:r>
    </w:p>
    <w:p w14:paraId="269BAC3E" w14:textId="7877312B" w:rsidR="00EF0D2F" w:rsidRPr="0013370B" w:rsidRDefault="00EF0D2F" w:rsidP="00EF0D2F">
      <w:pPr>
        <w:tabs>
          <w:tab w:val="left" w:pos="7650"/>
        </w:tabs>
      </w:pPr>
      <w:r w:rsidRPr="0013370B">
        <w:t xml:space="preserve">This foundation sets the stage for understanding </w:t>
      </w:r>
      <w:r w:rsidRPr="0013370B">
        <w:rPr>
          <w:b/>
          <w:bCs/>
        </w:rPr>
        <w:t>how different departments contribute to value creation</w:t>
      </w:r>
      <w:r w:rsidRPr="0013370B">
        <w:t xml:space="preserve"> and how clients distribute their attention. Across all regions, five key departments—</w:t>
      </w:r>
      <w:r w:rsidRPr="0013370B">
        <w:rPr>
          <w:b/>
          <w:bCs/>
        </w:rPr>
        <w:t>Audit, Management, Advisory, Tax, and Legal</w:t>
      </w:r>
      <w:r w:rsidRPr="0013370B">
        <w:t>—form the pillars of service delivery.</w:t>
      </w:r>
    </w:p>
    <w:p w14:paraId="3D2B80E5" w14:textId="77777777" w:rsidR="00EF0D2F" w:rsidRPr="0013370B" w:rsidRDefault="00000000" w:rsidP="00EF0D2F">
      <w:pPr>
        <w:tabs>
          <w:tab w:val="left" w:pos="7650"/>
        </w:tabs>
      </w:pPr>
      <w:r>
        <w:pict w14:anchorId="6BD91926">
          <v:rect id="_x0000_i1025" style="width:0;height:1.5pt" o:hralign="center" o:hrstd="t" o:hr="t" fillcolor="#a0a0a0" stroked="f"/>
        </w:pict>
      </w:r>
    </w:p>
    <w:p w14:paraId="7217D1A3" w14:textId="77777777" w:rsidR="0065382D" w:rsidRPr="0065382D" w:rsidRDefault="0065382D" w:rsidP="0065382D">
      <w:pPr>
        <w:tabs>
          <w:tab w:val="left" w:pos="7650"/>
        </w:tabs>
      </w:pPr>
      <w:r w:rsidRPr="0065382D">
        <w:t>Departmental Highlights – A Story of Balance and Imbalance</w:t>
      </w:r>
    </w:p>
    <w:p w14:paraId="16D254CD" w14:textId="77777777" w:rsidR="0065382D" w:rsidRPr="0065382D" w:rsidRDefault="0065382D" w:rsidP="0065382D">
      <w:pPr>
        <w:tabs>
          <w:tab w:val="left" w:pos="7650"/>
        </w:tabs>
      </w:pPr>
      <w:r w:rsidRPr="0065382D">
        <w:t>When we analyzed the Top 10 Clients, a clear pattern emerged: Audit services dominate client focus, attracting the largest share of expenditure. This underscores Audit’s role as a trust-building and compliance cornerstone. Conversely, the Tax Department lags behind, drawing the least from top clients. From a societal perspective, this is significant—because strong tax engagement is not just revenue for the firm, but also a pathway to national development and compliance culture.</w:t>
      </w:r>
    </w:p>
    <w:p w14:paraId="1E0BF63F" w14:textId="77777777" w:rsidR="0065382D" w:rsidRPr="0065382D" w:rsidRDefault="0065382D" w:rsidP="0065382D">
      <w:pPr>
        <w:tabs>
          <w:tab w:val="left" w:pos="7650"/>
        </w:tabs>
      </w:pPr>
      <w:r w:rsidRPr="0065382D">
        <w:t>Breaking down revenue distribution, we observed a relatively balanced financial footprint across all departments:</w:t>
      </w:r>
    </w:p>
    <w:p w14:paraId="4BF28416" w14:textId="77777777" w:rsidR="0065382D" w:rsidRPr="0065382D" w:rsidRDefault="0065382D" w:rsidP="0065382D">
      <w:pPr>
        <w:numPr>
          <w:ilvl w:val="0"/>
          <w:numId w:val="56"/>
        </w:numPr>
        <w:tabs>
          <w:tab w:val="left" w:pos="7650"/>
        </w:tabs>
      </w:pPr>
      <w:r w:rsidRPr="0065382D">
        <w:t>Audit: ₦39.22M in revenue, 44K hours, ₦896 revenue per hour.</w:t>
      </w:r>
    </w:p>
    <w:p w14:paraId="31C2187C" w14:textId="77777777" w:rsidR="0065382D" w:rsidRPr="0065382D" w:rsidRDefault="0065382D" w:rsidP="0065382D">
      <w:pPr>
        <w:numPr>
          <w:ilvl w:val="0"/>
          <w:numId w:val="56"/>
        </w:numPr>
        <w:tabs>
          <w:tab w:val="left" w:pos="7650"/>
        </w:tabs>
      </w:pPr>
      <w:r w:rsidRPr="0065382D">
        <w:t>Management: ₦39.22M in revenue, 43K hours, ₦905 revenue per hour.</w:t>
      </w:r>
    </w:p>
    <w:p w14:paraId="7E321460" w14:textId="77777777" w:rsidR="0065382D" w:rsidRPr="0065382D" w:rsidRDefault="0065382D" w:rsidP="0065382D">
      <w:pPr>
        <w:numPr>
          <w:ilvl w:val="0"/>
          <w:numId w:val="56"/>
        </w:numPr>
        <w:tabs>
          <w:tab w:val="left" w:pos="7650"/>
        </w:tabs>
      </w:pPr>
      <w:r w:rsidRPr="0065382D">
        <w:t>Advisory: ₦39.02M in revenue, 43K hours, ₦908 revenue per hour.</w:t>
      </w:r>
    </w:p>
    <w:p w14:paraId="6244A414" w14:textId="77777777" w:rsidR="0065382D" w:rsidRPr="0065382D" w:rsidRDefault="0065382D" w:rsidP="0065382D">
      <w:pPr>
        <w:numPr>
          <w:ilvl w:val="0"/>
          <w:numId w:val="56"/>
        </w:numPr>
        <w:tabs>
          <w:tab w:val="left" w:pos="7650"/>
        </w:tabs>
      </w:pPr>
      <w:r w:rsidRPr="0065382D">
        <w:t>Tax: ₦38.9M in revenue, 43K hours, ₦905 revenue per hour.</w:t>
      </w:r>
    </w:p>
    <w:p w14:paraId="7E57812F" w14:textId="77777777" w:rsidR="0065382D" w:rsidRPr="0065382D" w:rsidRDefault="0065382D" w:rsidP="0065382D">
      <w:pPr>
        <w:numPr>
          <w:ilvl w:val="0"/>
          <w:numId w:val="56"/>
        </w:numPr>
        <w:tabs>
          <w:tab w:val="left" w:pos="7650"/>
        </w:tabs>
      </w:pPr>
      <w:r w:rsidRPr="0065382D">
        <w:t>Legal: ₦38.8M in revenue, 44K hours, ₦891 revenue per hour.</w:t>
      </w:r>
    </w:p>
    <w:p w14:paraId="7E03D3D1" w14:textId="77777777" w:rsidR="0065382D" w:rsidRPr="0065382D" w:rsidRDefault="0065382D" w:rsidP="0065382D">
      <w:pPr>
        <w:tabs>
          <w:tab w:val="left" w:pos="7650"/>
        </w:tabs>
        <w:rPr>
          <w:b/>
          <w:bCs/>
        </w:rPr>
      </w:pPr>
      <w:r w:rsidRPr="0065382D">
        <w:t>While these numbers reflect balance on the surface, the client preference gap between Audit and Tax signals a need to reposition Tax services more strategically</w:t>
      </w:r>
      <w:r w:rsidRPr="0065382D">
        <w:rPr>
          <w:b/>
          <w:bCs/>
        </w:rPr>
        <w:t>.</w:t>
      </w:r>
    </w:p>
    <w:p w14:paraId="5284FF9C" w14:textId="77777777" w:rsidR="00DD337B" w:rsidRDefault="00DD337B" w:rsidP="00EF0D2F">
      <w:pPr>
        <w:tabs>
          <w:tab w:val="left" w:pos="7650"/>
        </w:tabs>
        <w:rPr>
          <w:b/>
          <w:bCs/>
        </w:rPr>
      </w:pPr>
    </w:p>
    <w:p w14:paraId="0CD1AE9E" w14:textId="7342535D" w:rsidR="00EF0D2F" w:rsidRPr="0013370B" w:rsidRDefault="00EF0D2F" w:rsidP="00EF0D2F">
      <w:pPr>
        <w:tabs>
          <w:tab w:val="left" w:pos="7650"/>
        </w:tabs>
        <w:rPr>
          <w:b/>
          <w:bCs/>
        </w:rPr>
      </w:pPr>
      <w:r w:rsidRPr="0013370B">
        <w:rPr>
          <w:b/>
          <w:bCs/>
        </w:rPr>
        <w:t>Correlation Insights – What Drives Revenue?</w:t>
      </w:r>
    </w:p>
    <w:p w14:paraId="6324A0D6" w14:textId="77777777" w:rsidR="00EF0D2F" w:rsidRPr="0013370B" w:rsidRDefault="00EF0D2F" w:rsidP="00EF0D2F">
      <w:pPr>
        <w:tabs>
          <w:tab w:val="left" w:pos="7650"/>
        </w:tabs>
      </w:pPr>
      <w:r w:rsidRPr="0013370B">
        <w:t xml:space="preserve">To move beyond raw numbers, we introduced a </w:t>
      </w:r>
      <w:r w:rsidRPr="0013370B">
        <w:rPr>
          <w:b/>
          <w:bCs/>
        </w:rPr>
        <w:t>correlation matrix</w:t>
      </w:r>
      <w:r w:rsidRPr="0013370B">
        <w:t xml:space="preserve"> to test which factors—</w:t>
      </w:r>
      <w:r w:rsidRPr="0013370B">
        <w:rPr>
          <w:b/>
          <w:bCs/>
        </w:rPr>
        <w:t>hourly rate, total hours, and predicted revenue</w:t>
      </w:r>
      <w:r w:rsidRPr="0013370B">
        <w:t>—are most connected to actual revenue.</w:t>
      </w:r>
    </w:p>
    <w:p w14:paraId="0F3B2FDA" w14:textId="77777777" w:rsidR="00EF0D2F" w:rsidRPr="0013370B" w:rsidRDefault="00EF0D2F" w:rsidP="00EF0D2F">
      <w:pPr>
        <w:tabs>
          <w:tab w:val="left" w:pos="7650"/>
        </w:tabs>
      </w:pPr>
      <w:r w:rsidRPr="0013370B">
        <w:lastRenderedPageBreak/>
        <w:t xml:space="preserve">The findings tell </w:t>
      </w:r>
      <w:r w:rsidRPr="0013370B">
        <w:rPr>
          <w:b/>
          <w:bCs/>
        </w:rPr>
        <w:t>different departmental stories</w:t>
      </w:r>
      <w:r w:rsidRPr="0013370B">
        <w:t>:</w:t>
      </w:r>
    </w:p>
    <w:p w14:paraId="6CA76634" w14:textId="77777777" w:rsidR="00EF0D2F" w:rsidRPr="0013370B" w:rsidRDefault="00EF0D2F" w:rsidP="00EF0D2F">
      <w:pPr>
        <w:numPr>
          <w:ilvl w:val="0"/>
          <w:numId w:val="2"/>
        </w:numPr>
        <w:tabs>
          <w:tab w:val="left" w:pos="7650"/>
        </w:tabs>
      </w:pPr>
      <w:r w:rsidRPr="0013370B">
        <w:rPr>
          <w:b/>
          <w:bCs/>
        </w:rPr>
        <w:t>Audit</w:t>
      </w:r>
      <w:r w:rsidRPr="0013370B">
        <w:t>: A modest link between revenue and hourly rate (</w:t>
      </w:r>
      <w:r w:rsidRPr="0013370B">
        <w:rPr>
          <w:b/>
          <w:bCs/>
        </w:rPr>
        <w:t>r=0.47</w:t>
      </w:r>
      <w:r w:rsidRPr="0013370B">
        <w:t>), but little to no link with predicted revenue (</w:t>
      </w:r>
      <w:r w:rsidRPr="0013370B">
        <w:rPr>
          <w:b/>
          <w:bCs/>
        </w:rPr>
        <w:t>r=0.06</w:t>
      </w:r>
      <w:r w:rsidRPr="0013370B">
        <w:t>). The model here didn’t capture reality well, hinting at unpredictable client behaviors.</w:t>
      </w:r>
    </w:p>
    <w:p w14:paraId="6D08D8F1" w14:textId="77777777" w:rsidR="00EF0D2F" w:rsidRPr="0013370B" w:rsidRDefault="00EF0D2F" w:rsidP="00EF0D2F">
      <w:pPr>
        <w:numPr>
          <w:ilvl w:val="0"/>
          <w:numId w:val="2"/>
        </w:numPr>
        <w:tabs>
          <w:tab w:val="left" w:pos="7650"/>
        </w:tabs>
      </w:pPr>
      <w:r w:rsidRPr="0013370B">
        <w:rPr>
          <w:b/>
          <w:bCs/>
        </w:rPr>
        <w:t>Management &amp; Advisory</w:t>
      </w:r>
      <w:r w:rsidRPr="0013370B">
        <w:t>: Very strong alignment between actual and predicted revenue (</w:t>
      </w:r>
      <w:r w:rsidRPr="0013370B">
        <w:rPr>
          <w:b/>
          <w:bCs/>
        </w:rPr>
        <w:t>r=0.94</w:t>
      </w:r>
      <w:r w:rsidRPr="0013370B">
        <w:t xml:space="preserve">), plus high correlations with both hourly rate and hours worked (0.64–0.71). These are the most </w:t>
      </w:r>
      <w:r w:rsidRPr="0013370B">
        <w:rPr>
          <w:b/>
          <w:bCs/>
        </w:rPr>
        <w:t>predictable and scalable departments</w:t>
      </w:r>
      <w:r w:rsidRPr="0013370B">
        <w:t>.</w:t>
      </w:r>
    </w:p>
    <w:p w14:paraId="07777FBA" w14:textId="77777777" w:rsidR="00EF0D2F" w:rsidRPr="0013370B" w:rsidRDefault="00EF0D2F" w:rsidP="00EF0D2F">
      <w:pPr>
        <w:numPr>
          <w:ilvl w:val="0"/>
          <w:numId w:val="2"/>
        </w:numPr>
        <w:tabs>
          <w:tab w:val="left" w:pos="7650"/>
        </w:tabs>
      </w:pPr>
      <w:r w:rsidRPr="0013370B">
        <w:rPr>
          <w:b/>
          <w:bCs/>
        </w:rPr>
        <w:t>Tax</w:t>
      </w:r>
      <w:r w:rsidRPr="0013370B">
        <w:t xml:space="preserve">: Weak alignment across all variables (predicted revenue correlation just </w:t>
      </w:r>
      <w:r w:rsidRPr="0013370B">
        <w:rPr>
          <w:b/>
          <w:bCs/>
        </w:rPr>
        <w:t>0.17</w:t>
      </w:r>
      <w:r w:rsidRPr="0013370B">
        <w:t>). This signals inconsistent performance and a pressing need for new engagement strategies.</w:t>
      </w:r>
    </w:p>
    <w:p w14:paraId="0E6BC4E3" w14:textId="77777777" w:rsidR="00EF0D2F" w:rsidRPr="0013370B" w:rsidRDefault="00EF0D2F" w:rsidP="00EF0D2F">
      <w:pPr>
        <w:numPr>
          <w:ilvl w:val="0"/>
          <w:numId w:val="2"/>
        </w:numPr>
        <w:tabs>
          <w:tab w:val="left" w:pos="7650"/>
        </w:tabs>
      </w:pPr>
      <w:r w:rsidRPr="0013370B">
        <w:rPr>
          <w:b/>
          <w:bCs/>
        </w:rPr>
        <w:t>Legal</w:t>
      </w:r>
      <w:r w:rsidRPr="0013370B">
        <w:t xml:space="preserve">: Strong and consistent relationships (predicted revenue </w:t>
      </w:r>
      <w:r w:rsidRPr="0013370B">
        <w:rPr>
          <w:b/>
          <w:bCs/>
        </w:rPr>
        <w:t>0.93</w:t>
      </w:r>
      <w:r w:rsidRPr="0013370B">
        <w:t xml:space="preserve">, hours </w:t>
      </w:r>
      <w:r w:rsidRPr="0013370B">
        <w:rPr>
          <w:b/>
          <w:bCs/>
        </w:rPr>
        <w:t>0.65</w:t>
      </w:r>
      <w:r w:rsidRPr="0013370B">
        <w:t xml:space="preserve">, hourly rate </w:t>
      </w:r>
      <w:r w:rsidRPr="0013370B">
        <w:rPr>
          <w:b/>
          <w:bCs/>
        </w:rPr>
        <w:t>0.64</w:t>
      </w:r>
      <w:r w:rsidRPr="0013370B">
        <w:t>), showing this department is both stable and predictable.</w:t>
      </w:r>
    </w:p>
    <w:p w14:paraId="576CE26C" w14:textId="77777777" w:rsidR="00EF0D2F" w:rsidRPr="0013370B" w:rsidRDefault="00EF0D2F" w:rsidP="00EF0D2F">
      <w:pPr>
        <w:tabs>
          <w:tab w:val="left" w:pos="7650"/>
        </w:tabs>
      </w:pPr>
      <w:r w:rsidRPr="0013370B">
        <w:t xml:space="preserve">In summary, while </w:t>
      </w:r>
      <w:r w:rsidRPr="0013370B">
        <w:rPr>
          <w:b/>
          <w:bCs/>
        </w:rPr>
        <w:t>Audit dominates client demand</w:t>
      </w:r>
      <w:r w:rsidRPr="0013370B">
        <w:t xml:space="preserve">, </w:t>
      </w:r>
      <w:r w:rsidRPr="0013370B">
        <w:rPr>
          <w:b/>
          <w:bCs/>
        </w:rPr>
        <w:t>Management, Advisory, and Legal emerge as data-driven powerhouses</w:t>
      </w:r>
      <w:r w:rsidRPr="0013370B">
        <w:t xml:space="preserve"> where forecasting models are highly reliable.</w:t>
      </w:r>
    </w:p>
    <w:p w14:paraId="07373EA7" w14:textId="77777777" w:rsidR="00EF0D2F" w:rsidRPr="0013370B" w:rsidRDefault="00000000" w:rsidP="00EF0D2F">
      <w:pPr>
        <w:tabs>
          <w:tab w:val="left" w:pos="7650"/>
        </w:tabs>
      </w:pPr>
      <w:r>
        <w:pict w14:anchorId="53194A4E">
          <v:rect id="_x0000_i1026" style="width:0;height:1.5pt" o:hralign="center" o:hrstd="t" o:hr="t" fillcolor="#a0a0a0" stroked="f"/>
        </w:pict>
      </w:r>
    </w:p>
    <w:p w14:paraId="6D6B31FB" w14:textId="77777777" w:rsidR="00EF0D2F" w:rsidRPr="0013370B" w:rsidRDefault="00EF0D2F" w:rsidP="00EF0D2F">
      <w:pPr>
        <w:tabs>
          <w:tab w:val="left" w:pos="7650"/>
        </w:tabs>
        <w:rPr>
          <w:b/>
          <w:bCs/>
        </w:rPr>
      </w:pPr>
      <w:r w:rsidRPr="0013370B">
        <w:rPr>
          <w:b/>
          <w:bCs/>
        </w:rPr>
        <w:t>Client Retention – Building Loyalty Over Time</w:t>
      </w:r>
    </w:p>
    <w:p w14:paraId="4469558E" w14:textId="77777777" w:rsidR="00EF0D2F" w:rsidRPr="0013370B" w:rsidRDefault="00EF0D2F" w:rsidP="00EF0D2F">
      <w:pPr>
        <w:tabs>
          <w:tab w:val="left" w:pos="7650"/>
        </w:tabs>
      </w:pPr>
      <w:r w:rsidRPr="0013370B">
        <w:t xml:space="preserve">Retention tells us whether clients remain on the journey after the first engagement. All departments demonstrate a </w:t>
      </w:r>
      <w:r w:rsidRPr="0013370B">
        <w:rPr>
          <w:b/>
          <w:bCs/>
        </w:rPr>
        <w:t>progressive retention curve</w:t>
      </w:r>
      <w:r w:rsidRPr="0013370B">
        <w:t>:</w:t>
      </w:r>
    </w:p>
    <w:p w14:paraId="18040DAB" w14:textId="77777777" w:rsidR="00EF0D2F" w:rsidRPr="0013370B" w:rsidRDefault="00EF0D2F" w:rsidP="00EF0D2F">
      <w:pPr>
        <w:numPr>
          <w:ilvl w:val="0"/>
          <w:numId w:val="3"/>
        </w:numPr>
        <w:tabs>
          <w:tab w:val="left" w:pos="7650"/>
        </w:tabs>
      </w:pPr>
      <w:r w:rsidRPr="0013370B">
        <w:t xml:space="preserve">In the early months (January–March), retention rates ranged between </w:t>
      </w:r>
      <w:r w:rsidRPr="0013370B">
        <w:rPr>
          <w:b/>
          <w:bCs/>
        </w:rPr>
        <w:t>0.31 and 0.38</w:t>
      </w:r>
      <w:r w:rsidRPr="0013370B">
        <w:t>, showing initial volatility.</w:t>
      </w:r>
    </w:p>
    <w:p w14:paraId="6E8D0DDE" w14:textId="77777777" w:rsidR="00EF0D2F" w:rsidRPr="0013370B" w:rsidRDefault="00EF0D2F" w:rsidP="00EF0D2F">
      <w:pPr>
        <w:numPr>
          <w:ilvl w:val="0"/>
          <w:numId w:val="3"/>
        </w:numPr>
        <w:tabs>
          <w:tab w:val="left" w:pos="7650"/>
        </w:tabs>
      </w:pPr>
      <w:r w:rsidRPr="0013370B">
        <w:t xml:space="preserve">By April, most departments exceeded </w:t>
      </w:r>
      <w:r w:rsidRPr="0013370B">
        <w:rPr>
          <w:b/>
          <w:bCs/>
        </w:rPr>
        <w:t>0.90</w:t>
      </w:r>
      <w:r w:rsidRPr="0013370B">
        <w:t xml:space="preserve">, and from May onwards, retention stabilized at </w:t>
      </w:r>
      <w:r w:rsidRPr="0013370B">
        <w:rPr>
          <w:b/>
          <w:bCs/>
        </w:rPr>
        <w:t>0.98–1.00</w:t>
      </w:r>
      <w:r w:rsidRPr="0013370B">
        <w:t xml:space="preserve"> across the board.</w:t>
      </w:r>
    </w:p>
    <w:p w14:paraId="3459F90E" w14:textId="77777777" w:rsidR="00EF0D2F" w:rsidRPr="0013370B" w:rsidRDefault="00EF0D2F" w:rsidP="00EF0D2F">
      <w:pPr>
        <w:tabs>
          <w:tab w:val="left" w:pos="7650"/>
        </w:tabs>
      </w:pPr>
      <w:r w:rsidRPr="0013370B">
        <w:t xml:space="preserve">This illustrates that while </w:t>
      </w:r>
      <w:r w:rsidRPr="0013370B">
        <w:rPr>
          <w:b/>
          <w:bCs/>
        </w:rPr>
        <w:t>early-stage onboarding is fragile</w:t>
      </w:r>
      <w:r w:rsidRPr="0013370B">
        <w:t xml:space="preserve">, once clients commit beyond the first quarter, </w:t>
      </w:r>
      <w:r w:rsidRPr="0013370B">
        <w:rPr>
          <w:b/>
          <w:bCs/>
        </w:rPr>
        <w:t>loyalty is nearly absolute</w:t>
      </w:r>
      <w:r w:rsidRPr="0013370B">
        <w:t>.</w:t>
      </w:r>
    </w:p>
    <w:p w14:paraId="7AB46E37" w14:textId="77777777" w:rsidR="00EF0D2F" w:rsidRPr="0013370B" w:rsidRDefault="00000000" w:rsidP="00EF0D2F">
      <w:pPr>
        <w:tabs>
          <w:tab w:val="left" w:pos="7650"/>
        </w:tabs>
      </w:pPr>
      <w:r>
        <w:pict w14:anchorId="0C446237">
          <v:rect id="_x0000_i1027" style="width:0;height:1.5pt" o:hralign="center" o:hrstd="t" o:hr="t" fillcolor="#a0a0a0" stroked="f"/>
        </w:pict>
      </w:r>
    </w:p>
    <w:p w14:paraId="76F535E7" w14:textId="77777777" w:rsidR="00EF0D2F" w:rsidRPr="0013370B" w:rsidRDefault="00EF0D2F" w:rsidP="00EF0D2F">
      <w:pPr>
        <w:tabs>
          <w:tab w:val="left" w:pos="7650"/>
        </w:tabs>
        <w:rPr>
          <w:b/>
          <w:bCs/>
        </w:rPr>
      </w:pPr>
      <w:r w:rsidRPr="0013370B">
        <w:rPr>
          <w:b/>
          <w:bCs/>
        </w:rPr>
        <w:t>Revenue by Hourly Rate – The Growth Ladders</w:t>
      </w:r>
    </w:p>
    <w:p w14:paraId="3821DDEC" w14:textId="77777777" w:rsidR="00EF0D2F" w:rsidRPr="0013370B" w:rsidRDefault="00EF0D2F" w:rsidP="00EF0D2F">
      <w:pPr>
        <w:tabs>
          <w:tab w:val="left" w:pos="7650"/>
        </w:tabs>
      </w:pPr>
      <w:r w:rsidRPr="0013370B">
        <w:t xml:space="preserve">Across departments, revenues scale progressively with higher hourly rate buckets. For example, in the </w:t>
      </w:r>
      <w:r w:rsidRPr="0013370B">
        <w:rPr>
          <w:b/>
          <w:bCs/>
        </w:rPr>
        <w:t>Audit Department</w:t>
      </w:r>
      <w:r w:rsidRPr="0013370B">
        <w:t xml:space="preserve">, revenue climbs from ₦2.67M at a ₦300 rate to ₦13.08M at a ₦1,500 rate. Similar stair-step growth patterns appear across all departments. This validates that </w:t>
      </w:r>
      <w:r w:rsidRPr="0013370B">
        <w:rPr>
          <w:b/>
          <w:bCs/>
        </w:rPr>
        <w:t>premium pricing drives significant revenue growth</w:t>
      </w:r>
      <w:r w:rsidRPr="0013370B">
        <w:t xml:space="preserve"> without disrupting client retention.</w:t>
      </w:r>
    </w:p>
    <w:p w14:paraId="064B7C15" w14:textId="77777777" w:rsidR="00EF0D2F" w:rsidRPr="0013370B" w:rsidRDefault="00000000" w:rsidP="00EF0D2F">
      <w:pPr>
        <w:tabs>
          <w:tab w:val="left" w:pos="7650"/>
        </w:tabs>
      </w:pPr>
      <w:r>
        <w:pict w14:anchorId="36789439">
          <v:rect id="_x0000_i1028" style="width:0;height:1.5pt" o:hralign="center" o:hrstd="t" o:hr="t" fillcolor="#a0a0a0" stroked="f"/>
        </w:pict>
      </w:r>
    </w:p>
    <w:p w14:paraId="18E3E0D6" w14:textId="77777777" w:rsidR="00EF0D2F" w:rsidRPr="0013370B" w:rsidRDefault="00EF0D2F" w:rsidP="00EF0D2F">
      <w:pPr>
        <w:tabs>
          <w:tab w:val="left" w:pos="7650"/>
        </w:tabs>
        <w:rPr>
          <w:b/>
          <w:bCs/>
        </w:rPr>
      </w:pPr>
      <w:r w:rsidRPr="0013370B">
        <w:rPr>
          <w:b/>
          <w:bCs/>
        </w:rPr>
        <w:lastRenderedPageBreak/>
        <w:t>Executive Takeaways</w:t>
      </w:r>
    </w:p>
    <w:p w14:paraId="793535D9" w14:textId="77777777" w:rsidR="00EF0D2F" w:rsidRPr="0013370B" w:rsidRDefault="00EF0D2F" w:rsidP="00EF0D2F">
      <w:pPr>
        <w:tabs>
          <w:tab w:val="left" w:pos="7650"/>
        </w:tabs>
      </w:pPr>
      <w:r w:rsidRPr="0013370B">
        <w:t xml:space="preserve">The analysis presents a </w:t>
      </w:r>
      <w:r w:rsidRPr="0013370B">
        <w:rPr>
          <w:b/>
          <w:bCs/>
        </w:rPr>
        <w:t>dual narrative</w:t>
      </w:r>
      <w:r w:rsidRPr="0013370B">
        <w:t>:</w:t>
      </w:r>
    </w:p>
    <w:p w14:paraId="095FCA4F" w14:textId="77777777" w:rsidR="00EF0D2F" w:rsidRPr="0013370B" w:rsidRDefault="00EF0D2F" w:rsidP="00EF0D2F">
      <w:pPr>
        <w:numPr>
          <w:ilvl w:val="0"/>
          <w:numId w:val="4"/>
        </w:numPr>
        <w:tabs>
          <w:tab w:val="left" w:pos="7650"/>
        </w:tabs>
      </w:pPr>
      <w:r w:rsidRPr="0013370B">
        <w:rPr>
          <w:b/>
          <w:bCs/>
        </w:rPr>
        <w:t>Audit is the current star</w:t>
      </w:r>
      <w:r w:rsidRPr="0013370B">
        <w:t>, attracting top clients and steady revenues, but with unpredictable modeling patterns.</w:t>
      </w:r>
    </w:p>
    <w:p w14:paraId="3AE0F192" w14:textId="77777777" w:rsidR="00EF0D2F" w:rsidRPr="0013370B" w:rsidRDefault="00EF0D2F" w:rsidP="00EF0D2F">
      <w:pPr>
        <w:numPr>
          <w:ilvl w:val="0"/>
          <w:numId w:val="4"/>
        </w:numPr>
        <w:tabs>
          <w:tab w:val="left" w:pos="7650"/>
        </w:tabs>
      </w:pPr>
      <w:r w:rsidRPr="0013370B">
        <w:rPr>
          <w:b/>
          <w:bCs/>
        </w:rPr>
        <w:t>Management, Advisory, and Legal are the silent engines</w:t>
      </w:r>
      <w:r w:rsidRPr="0013370B">
        <w:t>, combining high retention, predictable models, and scalable revenue drivers.</w:t>
      </w:r>
    </w:p>
    <w:p w14:paraId="62A042B5" w14:textId="77777777" w:rsidR="00EF0D2F" w:rsidRPr="0013370B" w:rsidRDefault="00EF0D2F" w:rsidP="00EF0D2F">
      <w:pPr>
        <w:numPr>
          <w:ilvl w:val="0"/>
          <w:numId w:val="4"/>
        </w:numPr>
        <w:tabs>
          <w:tab w:val="left" w:pos="7650"/>
        </w:tabs>
      </w:pPr>
      <w:r w:rsidRPr="0013370B">
        <w:rPr>
          <w:b/>
          <w:bCs/>
        </w:rPr>
        <w:t>Tax is the weakest link</w:t>
      </w:r>
      <w:r w:rsidRPr="0013370B">
        <w:t>, struggling both in client demand and in predictable performance. Its underutilization poses a missed opportunity for both the firm’s growth and societal contribution.</w:t>
      </w:r>
    </w:p>
    <w:p w14:paraId="392BFD56" w14:textId="77777777" w:rsidR="00EF0D2F" w:rsidRPr="0013370B" w:rsidRDefault="00EF0D2F" w:rsidP="00EF0D2F">
      <w:pPr>
        <w:tabs>
          <w:tab w:val="left" w:pos="7650"/>
        </w:tabs>
        <w:rPr>
          <w:b/>
          <w:bCs/>
        </w:rPr>
      </w:pPr>
      <w:r w:rsidRPr="0013370B">
        <w:rPr>
          <w:b/>
          <w:bCs/>
        </w:rPr>
        <w:t>Strategic Recommendations</w:t>
      </w:r>
    </w:p>
    <w:p w14:paraId="67A28F13" w14:textId="77777777" w:rsidR="00EF0D2F" w:rsidRPr="0013370B" w:rsidRDefault="00EF0D2F" w:rsidP="00EF0D2F">
      <w:pPr>
        <w:numPr>
          <w:ilvl w:val="0"/>
          <w:numId w:val="5"/>
        </w:numPr>
        <w:tabs>
          <w:tab w:val="left" w:pos="7650"/>
        </w:tabs>
      </w:pPr>
      <w:r w:rsidRPr="0013370B">
        <w:rPr>
          <w:b/>
          <w:bCs/>
        </w:rPr>
        <w:t>Strengthen Tax Services</w:t>
      </w:r>
      <w:r w:rsidRPr="0013370B">
        <w:t>: Rebrand tax advisory as a value-creation service, not just compliance, to attract higher client adoption.</w:t>
      </w:r>
    </w:p>
    <w:p w14:paraId="6257CD01" w14:textId="77777777" w:rsidR="00EF0D2F" w:rsidRPr="0013370B" w:rsidRDefault="00EF0D2F" w:rsidP="00EF0D2F">
      <w:pPr>
        <w:numPr>
          <w:ilvl w:val="0"/>
          <w:numId w:val="5"/>
        </w:numPr>
        <w:tabs>
          <w:tab w:val="left" w:pos="7650"/>
        </w:tabs>
      </w:pPr>
      <w:r w:rsidRPr="0013370B">
        <w:rPr>
          <w:b/>
          <w:bCs/>
        </w:rPr>
        <w:t>Invest in Predictable Units</w:t>
      </w:r>
      <w:r w:rsidRPr="0013370B">
        <w:t>: Scale Management, Advisory, and Legal services, where correlation with predictive models ensures reliable forecasting.</w:t>
      </w:r>
    </w:p>
    <w:p w14:paraId="5D6077ED" w14:textId="77777777" w:rsidR="00EF0D2F" w:rsidRPr="0013370B" w:rsidRDefault="00EF0D2F" w:rsidP="00EF0D2F">
      <w:pPr>
        <w:numPr>
          <w:ilvl w:val="0"/>
          <w:numId w:val="5"/>
        </w:numPr>
        <w:tabs>
          <w:tab w:val="left" w:pos="7650"/>
        </w:tabs>
      </w:pPr>
      <w:r w:rsidRPr="0013370B">
        <w:rPr>
          <w:b/>
          <w:bCs/>
        </w:rPr>
        <w:t>Audit Reinforcement</w:t>
      </w:r>
      <w:r w:rsidRPr="0013370B">
        <w:t>: Leverage its popularity but refine predictive modeling tools for more accurate revenue tracking.</w:t>
      </w:r>
    </w:p>
    <w:p w14:paraId="58E5B3C3" w14:textId="77777777" w:rsidR="00EF0D2F" w:rsidRPr="0013370B" w:rsidRDefault="00EF0D2F" w:rsidP="00EF0D2F">
      <w:pPr>
        <w:numPr>
          <w:ilvl w:val="0"/>
          <w:numId w:val="5"/>
        </w:numPr>
        <w:tabs>
          <w:tab w:val="left" w:pos="7650"/>
        </w:tabs>
      </w:pPr>
      <w:r w:rsidRPr="0013370B">
        <w:rPr>
          <w:b/>
          <w:bCs/>
        </w:rPr>
        <w:t>Client Onboarding Strategy</w:t>
      </w:r>
      <w:r w:rsidRPr="0013370B">
        <w:t xml:space="preserve">: Focus heavily on the </w:t>
      </w:r>
      <w:r w:rsidRPr="0013370B">
        <w:rPr>
          <w:b/>
          <w:bCs/>
        </w:rPr>
        <w:t>first-quarter experience</w:t>
      </w:r>
      <w:r w:rsidRPr="0013370B">
        <w:t>, where retention is weakest, to lock in long-term loyalty earlier.</w:t>
      </w:r>
    </w:p>
    <w:p w14:paraId="7F2E128F" w14:textId="77777777" w:rsidR="00EF0D2F" w:rsidRPr="0013370B" w:rsidRDefault="00000000" w:rsidP="00EF0D2F">
      <w:pPr>
        <w:tabs>
          <w:tab w:val="left" w:pos="7650"/>
        </w:tabs>
      </w:pPr>
      <w:r>
        <w:pict w14:anchorId="4ADB2A0B">
          <v:rect id="_x0000_i1029" style="width:0;height:1.5pt" o:hralign="center" o:hrstd="t" o:hr="t" fillcolor="#a0a0a0" stroked="f"/>
        </w:pict>
      </w:r>
    </w:p>
    <w:p w14:paraId="258AE62C" w14:textId="77777777" w:rsidR="00EF0D2F" w:rsidRPr="0013370B" w:rsidRDefault="00EF0D2F" w:rsidP="00EF0D2F">
      <w:pPr>
        <w:tabs>
          <w:tab w:val="left" w:pos="7650"/>
        </w:tabs>
      </w:pPr>
      <w:r w:rsidRPr="0013370B">
        <w:rPr>
          <w:rFonts w:ascii="Segoe UI Emoji" w:hAnsi="Segoe UI Emoji" w:cs="Segoe UI Emoji"/>
        </w:rPr>
        <w:t>📊</w:t>
      </w:r>
      <w:r w:rsidRPr="0013370B">
        <w:t xml:space="preserve"> </w:t>
      </w:r>
      <w:r w:rsidRPr="0013370B">
        <w:rPr>
          <w:b/>
          <w:bCs/>
        </w:rPr>
        <w:t>In essence, the data tells us this:</w:t>
      </w:r>
      <w:r w:rsidRPr="0013370B">
        <w:br/>
        <w:t xml:space="preserve">The firm sits on a strong and balanced revenue foundation, but its future growth lies in </w:t>
      </w:r>
      <w:r w:rsidRPr="0013370B">
        <w:rPr>
          <w:b/>
          <w:bCs/>
        </w:rPr>
        <w:t>turning Tax into a societal trust driver, amplifying Management &amp; Advisory as forecast-reliable engines, and reinforcing Audit’s dominance with sharper predictive insights.</w:t>
      </w:r>
    </w:p>
    <w:p w14:paraId="5CACE0F4" w14:textId="77777777" w:rsidR="00EF0D2F" w:rsidRDefault="00EF0D2F"/>
    <w:p w14:paraId="6F3EC89B" w14:textId="77777777" w:rsidR="00EF0D2F" w:rsidRDefault="00EF0D2F"/>
    <w:p w14:paraId="56A2C596" w14:textId="77777777" w:rsidR="00EF0D2F" w:rsidRDefault="00EF0D2F"/>
    <w:p w14:paraId="79EFCCC9" w14:textId="77777777" w:rsidR="0059010A" w:rsidRDefault="0059010A" w:rsidP="00EF0D2F">
      <w:pPr>
        <w:tabs>
          <w:tab w:val="left" w:pos="7650"/>
        </w:tabs>
      </w:pPr>
    </w:p>
    <w:p w14:paraId="254436E5" w14:textId="77777777" w:rsidR="002E410B" w:rsidRDefault="002E410B" w:rsidP="00EF0D2F">
      <w:pPr>
        <w:tabs>
          <w:tab w:val="left" w:pos="7650"/>
        </w:tabs>
        <w:rPr>
          <w:b/>
          <w:bCs/>
          <w:sz w:val="32"/>
          <w:szCs w:val="32"/>
        </w:rPr>
      </w:pPr>
    </w:p>
    <w:p w14:paraId="2F83F88F" w14:textId="77777777" w:rsidR="002E410B" w:rsidRDefault="002E410B" w:rsidP="00EF0D2F">
      <w:pPr>
        <w:tabs>
          <w:tab w:val="left" w:pos="7650"/>
        </w:tabs>
        <w:rPr>
          <w:b/>
          <w:bCs/>
          <w:sz w:val="32"/>
          <w:szCs w:val="32"/>
        </w:rPr>
      </w:pPr>
    </w:p>
    <w:p w14:paraId="4319846B" w14:textId="38072508" w:rsidR="00EF0D2F" w:rsidRPr="0059010A" w:rsidRDefault="002E410B" w:rsidP="00EF0D2F">
      <w:pPr>
        <w:tabs>
          <w:tab w:val="left" w:pos="7650"/>
        </w:tabs>
        <w:rPr>
          <w:b/>
          <w:bCs/>
          <w:sz w:val="32"/>
          <w:szCs w:val="32"/>
        </w:rPr>
      </w:pPr>
      <w:r>
        <w:rPr>
          <w:b/>
          <w:bCs/>
          <w:sz w:val="32"/>
          <w:szCs w:val="32"/>
        </w:rPr>
        <w:lastRenderedPageBreak/>
        <w:t xml:space="preserve">OPERATIONAL INSIGHT AND </w:t>
      </w:r>
      <w:r w:rsidRPr="0059010A">
        <w:rPr>
          <w:b/>
          <w:bCs/>
          <w:sz w:val="32"/>
          <w:szCs w:val="32"/>
        </w:rPr>
        <w:t xml:space="preserve">OUTLIER </w:t>
      </w:r>
      <w:r>
        <w:rPr>
          <w:b/>
          <w:bCs/>
          <w:sz w:val="32"/>
          <w:szCs w:val="32"/>
        </w:rPr>
        <w:t>DETECTION</w:t>
      </w:r>
    </w:p>
    <w:p w14:paraId="44F9D1C4" w14:textId="77777777" w:rsidR="00EF0D2F" w:rsidRPr="0023043D" w:rsidRDefault="00EF0D2F" w:rsidP="00EF0D2F">
      <w:pPr>
        <w:tabs>
          <w:tab w:val="left" w:pos="7650"/>
        </w:tabs>
      </w:pPr>
      <w:r w:rsidRPr="0023043D">
        <w:t xml:space="preserve">Every dataset has its rhythm. In this analysis, two distinct patterns emerged: the </w:t>
      </w:r>
      <w:r w:rsidRPr="0023043D">
        <w:rPr>
          <w:i/>
          <w:iCs/>
        </w:rPr>
        <w:t>normal observations</w:t>
      </w:r>
      <w:r w:rsidRPr="0023043D">
        <w:t xml:space="preserve"> that drive the organization’s growth, and the </w:t>
      </w:r>
      <w:r w:rsidRPr="0023043D">
        <w:rPr>
          <w:i/>
          <w:iCs/>
        </w:rPr>
        <w:t>outliers</w:t>
      </w:r>
      <w:r w:rsidRPr="0023043D">
        <w:t>—rare but resource-intensive activities that stretch efficiency and expose operational inefficiencies. Together, they paint a compelling picture of performance, predictive reliability, and strategic focus.</w:t>
      </w:r>
    </w:p>
    <w:p w14:paraId="3EF11E53" w14:textId="77777777" w:rsidR="00EF0D2F" w:rsidRPr="0023043D" w:rsidRDefault="00000000" w:rsidP="00EF0D2F">
      <w:pPr>
        <w:tabs>
          <w:tab w:val="left" w:pos="7650"/>
        </w:tabs>
      </w:pPr>
      <w:r>
        <w:pict w14:anchorId="54E8D1F2">
          <v:rect id="_x0000_i1030" style="width:0;height:1.5pt" o:hralign="center" o:hrstd="t" o:hr="t" fillcolor="#a0a0a0" stroked="f"/>
        </w:pict>
      </w:r>
    </w:p>
    <w:p w14:paraId="432532FD" w14:textId="77777777" w:rsidR="00EF0D2F" w:rsidRPr="0023043D" w:rsidRDefault="00EF0D2F" w:rsidP="00EF0D2F">
      <w:pPr>
        <w:tabs>
          <w:tab w:val="left" w:pos="7650"/>
        </w:tabs>
        <w:rPr>
          <w:b/>
          <w:bCs/>
        </w:rPr>
      </w:pPr>
      <w:r w:rsidRPr="0023043D">
        <w:rPr>
          <w:rFonts w:ascii="Segoe UI Symbol" w:hAnsi="Segoe UI Symbol" w:cs="Segoe UI Symbol"/>
          <w:b/>
          <w:bCs/>
        </w:rPr>
        <w:t>⏱</w:t>
      </w:r>
      <w:r w:rsidRPr="0023043D">
        <w:rPr>
          <w:b/>
          <w:bCs/>
        </w:rPr>
        <w:t xml:space="preserve"> Work Hours: Predictable Efficiency vs. Costly Disruptions</w:t>
      </w:r>
    </w:p>
    <w:p w14:paraId="0521EFC7" w14:textId="77777777" w:rsidR="00EF0D2F" w:rsidRPr="0023043D" w:rsidRDefault="00EF0D2F" w:rsidP="00EF0D2F">
      <w:pPr>
        <w:tabs>
          <w:tab w:val="left" w:pos="7650"/>
        </w:tabs>
      </w:pPr>
      <w:r w:rsidRPr="0023043D">
        <w:t>At the heart of operations lies the time invested.</w:t>
      </w:r>
    </w:p>
    <w:p w14:paraId="01F84CEF" w14:textId="77777777" w:rsidR="00EF0D2F" w:rsidRPr="0023043D" w:rsidRDefault="00EF0D2F" w:rsidP="00EF0D2F">
      <w:pPr>
        <w:numPr>
          <w:ilvl w:val="0"/>
          <w:numId w:val="6"/>
        </w:numPr>
        <w:tabs>
          <w:tab w:val="left" w:pos="7650"/>
        </w:tabs>
      </w:pPr>
      <w:r w:rsidRPr="0023043D">
        <w:rPr>
          <w:b/>
          <w:bCs/>
        </w:rPr>
        <w:t>Normal Group</w:t>
      </w:r>
      <w:r w:rsidRPr="0023043D">
        <w:t xml:space="preserve">: With an average of </w:t>
      </w:r>
      <w:r w:rsidRPr="0023043D">
        <w:rPr>
          <w:b/>
          <w:bCs/>
        </w:rPr>
        <w:t>4.51 hours</w:t>
      </w:r>
      <w:r w:rsidRPr="0023043D">
        <w:t xml:space="preserve"> and a standard deviation of </w:t>
      </w:r>
      <w:r w:rsidRPr="0023043D">
        <w:rPr>
          <w:b/>
          <w:bCs/>
        </w:rPr>
        <w:t>2.31</w:t>
      </w:r>
      <w:r w:rsidRPr="0023043D">
        <w:t>, this segment operates with discipline. Activities here follow a consistent rhythm, showing both efficiency and predictability. They represent the “steady beat” of the business engine.</w:t>
      </w:r>
    </w:p>
    <w:p w14:paraId="2DAC23AC" w14:textId="77777777" w:rsidR="00EF0D2F" w:rsidRPr="0023043D" w:rsidRDefault="00EF0D2F" w:rsidP="00EF0D2F">
      <w:pPr>
        <w:numPr>
          <w:ilvl w:val="0"/>
          <w:numId w:val="6"/>
        </w:numPr>
        <w:tabs>
          <w:tab w:val="left" w:pos="7650"/>
        </w:tabs>
      </w:pPr>
      <w:r w:rsidRPr="0023043D">
        <w:rPr>
          <w:b/>
          <w:bCs/>
        </w:rPr>
        <w:t>Outlier Group</w:t>
      </w:r>
      <w:r w:rsidRPr="0023043D">
        <w:t xml:space="preserve">: In contrast, outliers average </w:t>
      </w:r>
      <w:r w:rsidRPr="0023043D">
        <w:rPr>
          <w:b/>
          <w:bCs/>
        </w:rPr>
        <w:t>21.25 hours</w:t>
      </w:r>
      <w:r w:rsidRPr="0023043D">
        <w:t xml:space="preserve"> with a variability of </w:t>
      </w:r>
      <w:r w:rsidRPr="0023043D">
        <w:rPr>
          <w:b/>
          <w:bCs/>
        </w:rPr>
        <w:t>6.34</w:t>
      </w:r>
      <w:r w:rsidRPr="0023043D">
        <w:t xml:space="preserve">. These activities demand almost </w:t>
      </w:r>
      <w:r w:rsidRPr="0023043D">
        <w:rPr>
          <w:b/>
          <w:bCs/>
        </w:rPr>
        <w:t>five times more time</w:t>
      </w:r>
      <w:r w:rsidRPr="0023043D">
        <w:t>, but lack consistency, reflecting inefficiency and unpredictability. They are the “noise” in an otherwise well-tuned system.</w:t>
      </w:r>
    </w:p>
    <w:p w14:paraId="3FE155D4" w14:textId="77777777" w:rsidR="00EF0D2F" w:rsidRPr="0023043D" w:rsidRDefault="00EF0D2F" w:rsidP="00EF0D2F">
      <w:pPr>
        <w:tabs>
          <w:tab w:val="left" w:pos="7650"/>
        </w:tabs>
      </w:pPr>
      <w:r w:rsidRPr="0023043D">
        <w:t xml:space="preserve">The story here is one of contrast: </w:t>
      </w:r>
      <w:r w:rsidRPr="0023043D">
        <w:rPr>
          <w:b/>
          <w:bCs/>
        </w:rPr>
        <w:t>efficiency and focus in the normal group versus costly disruption in the outlier group.</w:t>
      </w:r>
    </w:p>
    <w:p w14:paraId="42A6766A" w14:textId="77777777" w:rsidR="00EF0D2F" w:rsidRPr="0023043D" w:rsidRDefault="00000000" w:rsidP="00EF0D2F">
      <w:pPr>
        <w:tabs>
          <w:tab w:val="left" w:pos="7650"/>
        </w:tabs>
      </w:pPr>
      <w:r>
        <w:pict w14:anchorId="02CB049D">
          <v:rect id="_x0000_i1031" style="width:0;height:1.5pt" o:hralign="center" o:hrstd="t" o:hr="t" fillcolor="#a0a0a0" stroked="f"/>
        </w:pict>
      </w:r>
    </w:p>
    <w:p w14:paraId="07199687" w14:textId="77777777" w:rsidR="00EF0D2F" w:rsidRPr="0023043D" w:rsidRDefault="00EF0D2F" w:rsidP="00EF0D2F">
      <w:pPr>
        <w:tabs>
          <w:tab w:val="left" w:pos="7650"/>
        </w:tabs>
        <w:rPr>
          <w:b/>
          <w:bCs/>
        </w:rPr>
      </w:pPr>
      <w:r w:rsidRPr="0023043D">
        <w:rPr>
          <w:rFonts w:ascii="Segoe UI Emoji" w:hAnsi="Segoe UI Emoji" w:cs="Segoe UI Emoji"/>
          <w:b/>
          <w:bCs/>
        </w:rPr>
        <w:t>💰</w:t>
      </w:r>
      <w:r w:rsidRPr="0023043D">
        <w:rPr>
          <w:b/>
          <w:bCs/>
        </w:rPr>
        <w:t xml:space="preserve"> Revenue Contribution: The Powerhouse vs. the Margins</w:t>
      </w:r>
    </w:p>
    <w:p w14:paraId="7BB08099" w14:textId="77777777" w:rsidR="00EF0D2F" w:rsidRPr="0023043D" w:rsidRDefault="00EF0D2F" w:rsidP="00EF0D2F">
      <w:pPr>
        <w:tabs>
          <w:tab w:val="left" w:pos="7650"/>
        </w:tabs>
      </w:pPr>
      <w:r w:rsidRPr="0023043D">
        <w:t>When shifting the lens to revenue, the differences are even starker.</w:t>
      </w:r>
    </w:p>
    <w:p w14:paraId="3D425954" w14:textId="77777777" w:rsidR="00EF0D2F" w:rsidRPr="0023043D" w:rsidRDefault="00EF0D2F" w:rsidP="00EF0D2F">
      <w:pPr>
        <w:numPr>
          <w:ilvl w:val="0"/>
          <w:numId w:val="7"/>
        </w:numPr>
        <w:tabs>
          <w:tab w:val="left" w:pos="7650"/>
        </w:tabs>
      </w:pPr>
      <w:r w:rsidRPr="0023043D">
        <w:rPr>
          <w:b/>
          <w:bCs/>
        </w:rPr>
        <w:t>Normal Group</w:t>
      </w:r>
      <w:r w:rsidRPr="0023043D">
        <w:t>:</w:t>
      </w:r>
    </w:p>
    <w:p w14:paraId="3569CD26" w14:textId="77777777" w:rsidR="00EF0D2F" w:rsidRPr="0023043D" w:rsidRDefault="00EF0D2F" w:rsidP="00EF0D2F">
      <w:pPr>
        <w:numPr>
          <w:ilvl w:val="1"/>
          <w:numId w:val="7"/>
        </w:numPr>
        <w:tabs>
          <w:tab w:val="left" w:pos="7650"/>
        </w:tabs>
      </w:pPr>
      <w:r w:rsidRPr="0023043D">
        <w:rPr>
          <w:b/>
          <w:bCs/>
        </w:rPr>
        <w:t>Predicted Revenue</w:t>
      </w:r>
      <w:r w:rsidRPr="0023043D">
        <w:t>: ₦195.44M</w:t>
      </w:r>
    </w:p>
    <w:p w14:paraId="36EFF848" w14:textId="77777777" w:rsidR="00EF0D2F" w:rsidRPr="0023043D" w:rsidRDefault="00EF0D2F" w:rsidP="00EF0D2F">
      <w:pPr>
        <w:numPr>
          <w:ilvl w:val="1"/>
          <w:numId w:val="7"/>
        </w:numPr>
        <w:tabs>
          <w:tab w:val="left" w:pos="7650"/>
        </w:tabs>
      </w:pPr>
      <w:r w:rsidRPr="0023043D">
        <w:rPr>
          <w:b/>
          <w:bCs/>
        </w:rPr>
        <w:t>Actual Revenue</w:t>
      </w:r>
      <w:r w:rsidRPr="0023043D">
        <w:t>: ₦195M</w:t>
      </w:r>
    </w:p>
    <w:p w14:paraId="2F14B4F4" w14:textId="77777777" w:rsidR="00EF0D2F" w:rsidRPr="0023043D" w:rsidRDefault="00EF0D2F" w:rsidP="00EF0D2F">
      <w:pPr>
        <w:numPr>
          <w:ilvl w:val="1"/>
          <w:numId w:val="7"/>
        </w:numPr>
        <w:tabs>
          <w:tab w:val="left" w:pos="7650"/>
        </w:tabs>
      </w:pPr>
      <w:r w:rsidRPr="0023043D">
        <w:rPr>
          <w:b/>
          <w:bCs/>
        </w:rPr>
        <w:t>Revenue Error</w:t>
      </w:r>
      <w:r w:rsidRPr="0023043D">
        <w:t>: -₦191.30K (</w:t>
      </w:r>
      <w:r w:rsidRPr="0023043D">
        <w:rPr>
          <w:b/>
          <w:bCs/>
        </w:rPr>
        <w:t>0.52%</w:t>
      </w:r>
      <w:r w:rsidRPr="0023043D">
        <w:t>)</w:t>
      </w:r>
      <w:r w:rsidRPr="0023043D">
        <w:br/>
        <w:t xml:space="preserve">This near-perfect alignment between prediction and reality confirms that the model tracks the normal group with remarkable precision. More importantly, this group generates </w:t>
      </w:r>
      <w:r w:rsidRPr="0023043D">
        <w:rPr>
          <w:b/>
          <w:bCs/>
        </w:rPr>
        <w:t>≈99.96% of all revenue</w:t>
      </w:r>
      <w:r w:rsidRPr="0023043D">
        <w:t>, making it the undeniable powerhouse of the business.</w:t>
      </w:r>
    </w:p>
    <w:p w14:paraId="486EC377" w14:textId="77777777" w:rsidR="00EF0D2F" w:rsidRPr="0023043D" w:rsidRDefault="00EF0D2F" w:rsidP="00EF0D2F">
      <w:pPr>
        <w:numPr>
          <w:ilvl w:val="0"/>
          <w:numId w:val="7"/>
        </w:numPr>
        <w:tabs>
          <w:tab w:val="left" w:pos="7650"/>
        </w:tabs>
      </w:pPr>
      <w:r w:rsidRPr="0023043D">
        <w:rPr>
          <w:b/>
          <w:bCs/>
        </w:rPr>
        <w:t>Outlier Group</w:t>
      </w:r>
      <w:r w:rsidRPr="0023043D">
        <w:t>:</w:t>
      </w:r>
    </w:p>
    <w:p w14:paraId="5C4D895D" w14:textId="77777777" w:rsidR="00EF0D2F" w:rsidRPr="0023043D" w:rsidRDefault="00EF0D2F" w:rsidP="00EF0D2F">
      <w:pPr>
        <w:numPr>
          <w:ilvl w:val="1"/>
          <w:numId w:val="7"/>
        </w:numPr>
        <w:tabs>
          <w:tab w:val="left" w:pos="7650"/>
        </w:tabs>
      </w:pPr>
      <w:r w:rsidRPr="0023043D">
        <w:rPr>
          <w:b/>
          <w:bCs/>
        </w:rPr>
        <w:lastRenderedPageBreak/>
        <w:t>Predicted Revenue</w:t>
      </w:r>
      <w:r w:rsidRPr="0023043D">
        <w:t>: ₦75.29K</w:t>
      </w:r>
    </w:p>
    <w:p w14:paraId="259BAC86" w14:textId="77777777" w:rsidR="00EF0D2F" w:rsidRPr="0023043D" w:rsidRDefault="00EF0D2F" w:rsidP="00EF0D2F">
      <w:pPr>
        <w:numPr>
          <w:ilvl w:val="1"/>
          <w:numId w:val="7"/>
        </w:numPr>
        <w:tabs>
          <w:tab w:val="left" w:pos="7650"/>
        </w:tabs>
      </w:pPr>
      <w:r w:rsidRPr="0023043D">
        <w:rPr>
          <w:b/>
          <w:bCs/>
        </w:rPr>
        <w:t>Actual Revenue</w:t>
      </w:r>
      <w:r w:rsidRPr="0023043D">
        <w:t>: ₦68K</w:t>
      </w:r>
    </w:p>
    <w:p w14:paraId="60364E32" w14:textId="77777777" w:rsidR="00EF0D2F" w:rsidRPr="0023043D" w:rsidRDefault="00EF0D2F" w:rsidP="00EF0D2F">
      <w:pPr>
        <w:numPr>
          <w:ilvl w:val="1"/>
          <w:numId w:val="7"/>
        </w:numPr>
        <w:tabs>
          <w:tab w:val="left" w:pos="7650"/>
        </w:tabs>
      </w:pPr>
      <w:r w:rsidRPr="0023043D">
        <w:rPr>
          <w:b/>
          <w:bCs/>
        </w:rPr>
        <w:t>Revenue Error</w:t>
      </w:r>
      <w:r w:rsidRPr="0023043D">
        <w:t>: -₦7.49K (</w:t>
      </w:r>
      <w:r w:rsidRPr="0023043D">
        <w:rPr>
          <w:b/>
          <w:bCs/>
        </w:rPr>
        <w:t>0.24%</w:t>
      </w:r>
      <w:r w:rsidRPr="0023043D">
        <w:t>)</w:t>
      </w:r>
      <w:r w:rsidRPr="0023043D">
        <w:br/>
        <w:t>While accuracy remains solid, the financial contribution is negligible. Outliers consume outsized hours for marginal returns, signaling inefficiency rather than opportunity.</w:t>
      </w:r>
    </w:p>
    <w:p w14:paraId="1E62B2E0" w14:textId="77777777" w:rsidR="00EF0D2F" w:rsidRPr="0023043D" w:rsidRDefault="00EF0D2F" w:rsidP="00EF0D2F">
      <w:pPr>
        <w:tabs>
          <w:tab w:val="left" w:pos="7650"/>
        </w:tabs>
      </w:pPr>
      <w:r w:rsidRPr="0023043D">
        <w:t xml:space="preserve">The narrative is clear: </w:t>
      </w:r>
      <w:r w:rsidRPr="0023043D">
        <w:rPr>
          <w:b/>
          <w:bCs/>
        </w:rPr>
        <w:t>normal cases sustain the business, while outliers drain resources without delivering proportional value.</w:t>
      </w:r>
    </w:p>
    <w:p w14:paraId="4B7505A1" w14:textId="77777777" w:rsidR="00EF0D2F" w:rsidRPr="0023043D" w:rsidRDefault="00000000" w:rsidP="00EF0D2F">
      <w:pPr>
        <w:tabs>
          <w:tab w:val="left" w:pos="7650"/>
        </w:tabs>
      </w:pPr>
      <w:r>
        <w:pict w14:anchorId="417CAA64">
          <v:rect id="_x0000_i1032" style="width:0;height:1.5pt" o:hralign="center" o:hrstd="t" o:hr="t" fillcolor="#a0a0a0" stroked="f"/>
        </w:pict>
      </w:r>
    </w:p>
    <w:p w14:paraId="6365CB8D" w14:textId="77777777" w:rsidR="00EF0D2F" w:rsidRPr="0023043D" w:rsidRDefault="00EF0D2F" w:rsidP="00EF0D2F">
      <w:pPr>
        <w:tabs>
          <w:tab w:val="left" w:pos="7650"/>
        </w:tabs>
        <w:rPr>
          <w:b/>
          <w:bCs/>
        </w:rPr>
      </w:pPr>
      <w:r w:rsidRPr="0023043D">
        <w:rPr>
          <w:rFonts w:ascii="Segoe UI Emoji" w:hAnsi="Segoe UI Emoji" w:cs="Segoe UI Emoji"/>
          <w:b/>
          <w:bCs/>
        </w:rPr>
        <w:t>🔍</w:t>
      </w:r>
      <w:r w:rsidRPr="0023043D">
        <w:rPr>
          <w:b/>
          <w:bCs/>
        </w:rPr>
        <w:t xml:space="preserve"> Predictive Reliability: A Model That Holds Under Pressure</w:t>
      </w:r>
    </w:p>
    <w:p w14:paraId="533EC6CC" w14:textId="77777777" w:rsidR="00EF0D2F" w:rsidRPr="0023043D" w:rsidRDefault="00EF0D2F" w:rsidP="00EF0D2F">
      <w:pPr>
        <w:tabs>
          <w:tab w:val="left" w:pos="7650"/>
        </w:tabs>
      </w:pPr>
      <w:r w:rsidRPr="0023043D">
        <w:t>The predictive model stands out as a resilient performer in both stable and volatile conditions:</w:t>
      </w:r>
    </w:p>
    <w:p w14:paraId="2A5D7380" w14:textId="77777777" w:rsidR="00EF0D2F" w:rsidRPr="0023043D" w:rsidRDefault="00EF0D2F" w:rsidP="00EF0D2F">
      <w:pPr>
        <w:numPr>
          <w:ilvl w:val="0"/>
          <w:numId w:val="8"/>
        </w:numPr>
        <w:tabs>
          <w:tab w:val="left" w:pos="7650"/>
        </w:tabs>
      </w:pPr>
      <w:r w:rsidRPr="0023043D">
        <w:rPr>
          <w:b/>
          <w:bCs/>
        </w:rPr>
        <w:t>Normal Segment</w:t>
      </w:r>
      <w:r w:rsidRPr="0023043D">
        <w:t xml:space="preserve">: With a tiny deviation of less than </w:t>
      </w:r>
      <w:r w:rsidRPr="0023043D">
        <w:rPr>
          <w:b/>
          <w:bCs/>
        </w:rPr>
        <w:t>0.1%</w:t>
      </w:r>
      <w:r w:rsidRPr="0023043D">
        <w:t>, the model proves highly dependable. It consistently delivers forecasts executives can trust when planning around the core revenue engine.</w:t>
      </w:r>
    </w:p>
    <w:p w14:paraId="5E24C4D9" w14:textId="77777777" w:rsidR="00EF0D2F" w:rsidRPr="0023043D" w:rsidRDefault="00EF0D2F" w:rsidP="00EF0D2F">
      <w:pPr>
        <w:numPr>
          <w:ilvl w:val="0"/>
          <w:numId w:val="8"/>
        </w:numPr>
        <w:tabs>
          <w:tab w:val="left" w:pos="7650"/>
        </w:tabs>
      </w:pPr>
      <w:r w:rsidRPr="0023043D">
        <w:rPr>
          <w:b/>
          <w:bCs/>
        </w:rPr>
        <w:t>Outliers</w:t>
      </w:r>
      <w:r w:rsidRPr="0023043D">
        <w:t xml:space="preserve">: Even in these atypical scenarios, predictions stay close to reality with just </w:t>
      </w:r>
      <w:r w:rsidRPr="0023043D">
        <w:rPr>
          <w:b/>
          <w:bCs/>
        </w:rPr>
        <w:t>0.24% error</w:t>
      </w:r>
      <w:r w:rsidRPr="0023043D">
        <w:t>, demonstrating adaptability.</w:t>
      </w:r>
    </w:p>
    <w:p w14:paraId="43A0A062" w14:textId="77777777" w:rsidR="00EF0D2F" w:rsidRPr="0023043D" w:rsidRDefault="00EF0D2F" w:rsidP="00EF0D2F">
      <w:pPr>
        <w:tabs>
          <w:tab w:val="left" w:pos="7650"/>
        </w:tabs>
      </w:pPr>
      <w:r w:rsidRPr="0023043D">
        <w:t>This reliability across both groups underscores that the predictive model itself is not the bottleneck—</w:t>
      </w:r>
      <w:r w:rsidRPr="0023043D">
        <w:rPr>
          <w:b/>
          <w:bCs/>
        </w:rPr>
        <w:t>the real challenge lies in operational inefficiency caused by outliers.</w:t>
      </w:r>
    </w:p>
    <w:p w14:paraId="0435AA7E" w14:textId="77777777" w:rsidR="00EF0D2F" w:rsidRPr="0023043D" w:rsidRDefault="00000000" w:rsidP="00EF0D2F">
      <w:pPr>
        <w:tabs>
          <w:tab w:val="left" w:pos="7650"/>
        </w:tabs>
      </w:pPr>
      <w:r>
        <w:pict w14:anchorId="66A19060">
          <v:rect id="_x0000_i1033" style="width:0;height:1.5pt" o:hralign="center" o:hrstd="t" o:hr="t" fillcolor="#a0a0a0" stroked="f"/>
        </w:pict>
      </w:r>
    </w:p>
    <w:p w14:paraId="19DA63EA" w14:textId="77777777" w:rsidR="00EF0D2F" w:rsidRPr="0023043D" w:rsidRDefault="00EF0D2F" w:rsidP="00EF0D2F">
      <w:pPr>
        <w:tabs>
          <w:tab w:val="left" w:pos="7650"/>
        </w:tabs>
        <w:rPr>
          <w:b/>
          <w:bCs/>
        </w:rPr>
      </w:pPr>
      <w:r w:rsidRPr="0023043D">
        <w:rPr>
          <w:rFonts w:ascii="Segoe UI Emoji" w:hAnsi="Segoe UI Emoji" w:cs="Segoe UI Emoji"/>
          <w:b/>
          <w:bCs/>
        </w:rPr>
        <w:t>🎯</w:t>
      </w:r>
      <w:r w:rsidRPr="0023043D">
        <w:rPr>
          <w:b/>
          <w:bCs/>
        </w:rPr>
        <w:t xml:space="preserve"> Strategic Executive Insights</w:t>
      </w:r>
    </w:p>
    <w:p w14:paraId="6A37CE10" w14:textId="77777777" w:rsidR="00EF0D2F" w:rsidRPr="0023043D" w:rsidRDefault="00EF0D2F" w:rsidP="00EF0D2F">
      <w:pPr>
        <w:numPr>
          <w:ilvl w:val="0"/>
          <w:numId w:val="9"/>
        </w:numPr>
        <w:tabs>
          <w:tab w:val="left" w:pos="7650"/>
        </w:tabs>
      </w:pPr>
      <w:r w:rsidRPr="0023043D">
        <w:rPr>
          <w:b/>
          <w:bCs/>
        </w:rPr>
        <w:t>Core Business (Normal Group)</w:t>
      </w:r>
    </w:p>
    <w:p w14:paraId="79E935A5" w14:textId="77777777" w:rsidR="00EF0D2F" w:rsidRPr="0023043D" w:rsidRDefault="00EF0D2F" w:rsidP="00EF0D2F">
      <w:pPr>
        <w:numPr>
          <w:ilvl w:val="1"/>
          <w:numId w:val="9"/>
        </w:numPr>
        <w:tabs>
          <w:tab w:val="left" w:pos="7650"/>
        </w:tabs>
      </w:pPr>
      <w:r w:rsidRPr="0023043D">
        <w:t>Efficient, predictable, and overwhelmingly dominant in revenue contribution.</w:t>
      </w:r>
    </w:p>
    <w:p w14:paraId="02BBE21F" w14:textId="77777777" w:rsidR="00EF0D2F" w:rsidRPr="0023043D" w:rsidRDefault="00EF0D2F" w:rsidP="00EF0D2F">
      <w:pPr>
        <w:numPr>
          <w:ilvl w:val="1"/>
          <w:numId w:val="9"/>
        </w:numPr>
        <w:tabs>
          <w:tab w:val="left" w:pos="7650"/>
        </w:tabs>
      </w:pPr>
      <w:r w:rsidRPr="0023043D">
        <w:t xml:space="preserve">The predictive model delivers </w:t>
      </w:r>
      <w:r w:rsidRPr="0023043D">
        <w:rPr>
          <w:b/>
          <w:bCs/>
        </w:rPr>
        <w:t>95–98% confidence accuracy</w:t>
      </w:r>
      <w:r w:rsidRPr="0023043D">
        <w:t>, making it an indispensable tool for strategic planning.</w:t>
      </w:r>
    </w:p>
    <w:p w14:paraId="7CDE7761" w14:textId="77777777" w:rsidR="00EF0D2F" w:rsidRPr="0023043D" w:rsidRDefault="00EF0D2F" w:rsidP="00EF0D2F">
      <w:pPr>
        <w:numPr>
          <w:ilvl w:val="0"/>
          <w:numId w:val="9"/>
        </w:numPr>
        <w:tabs>
          <w:tab w:val="left" w:pos="7650"/>
        </w:tabs>
      </w:pPr>
      <w:r w:rsidRPr="0023043D">
        <w:rPr>
          <w:b/>
          <w:bCs/>
        </w:rPr>
        <w:t>Outliers (Edge Cases)</w:t>
      </w:r>
    </w:p>
    <w:p w14:paraId="7D96C650" w14:textId="77777777" w:rsidR="00EF0D2F" w:rsidRPr="0023043D" w:rsidRDefault="00EF0D2F" w:rsidP="00EF0D2F">
      <w:pPr>
        <w:numPr>
          <w:ilvl w:val="1"/>
          <w:numId w:val="9"/>
        </w:numPr>
        <w:tabs>
          <w:tab w:val="left" w:pos="7650"/>
        </w:tabs>
      </w:pPr>
      <w:r w:rsidRPr="0023043D">
        <w:t xml:space="preserve">Although predicted accurately, they represent inefficiency: </w:t>
      </w:r>
      <w:r w:rsidRPr="0023043D">
        <w:rPr>
          <w:b/>
          <w:bCs/>
        </w:rPr>
        <w:t>5x higher time spent, minimal revenue gained.</w:t>
      </w:r>
    </w:p>
    <w:p w14:paraId="1C42E892" w14:textId="77777777" w:rsidR="00EF0D2F" w:rsidRPr="0023043D" w:rsidRDefault="00EF0D2F" w:rsidP="00EF0D2F">
      <w:pPr>
        <w:numPr>
          <w:ilvl w:val="1"/>
          <w:numId w:val="9"/>
        </w:numPr>
        <w:tabs>
          <w:tab w:val="left" w:pos="7650"/>
        </w:tabs>
      </w:pPr>
      <w:r w:rsidRPr="0023043D">
        <w:t>Their significance is not financial but operational—they highlight “leaks” in the system where valuable resources are tied up with little return.</w:t>
      </w:r>
    </w:p>
    <w:p w14:paraId="4DE0E61B" w14:textId="77777777" w:rsidR="00EF0D2F" w:rsidRPr="0023043D" w:rsidRDefault="00EF0D2F" w:rsidP="00EF0D2F">
      <w:pPr>
        <w:numPr>
          <w:ilvl w:val="0"/>
          <w:numId w:val="9"/>
        </w:numPr>
        <w:tabs>
          <w:tab w:val="left" w:pos="7650"/>
        </w:tabs>
      </w:pPr>
      <w:r w:rsidRPr="0023043D">
        <w:rPr>
          <w:b/>
          <w:bCs/>
        </w:rPr>
        <w:lastRenderedPageBreak/>
        <w:t>Path Forward</w:t>
      </w:r>
    </w:p>
    <w:p w14:paraId="47E87512" w14:textId="77777777" w:rsidR="00EF0D2F" w:rsidRPr="0023043D" w:rsidRDefault="00EF0D2F" w:rsidP="00EF0D2F">
      <w:pPr>
        <w:numPr>
          <w:ilvl w:val="1"/>
          <w:numId w:val="9"/>
        </w:numPr>
        <w:tabs>
          <w:tab w:val="left" w:pos="7650"/>
        </w:tabs>
      </w:pPr>
      <w:r w:rsidRPr="0023043D">
        <w:t xml:space="preserve">The business does not need to recalibrate the model. Instead, it should focus on </w:t>
      </w:r>
      <w:r w:rsidRPr="0023043D">
        <w:rPr>
          <w:b/>
          <w:bCs/>
        </w:rPr>
        <w:t>reducing outlier frequency through process optimization, better client screening, or operational redesign.</w:t>
      </w:r>
    </w:p>
    <w:p w14:paraId="3BE01685" w14:textId="77777777" w:rsidR="00EF0D2F" w:rsidRPr="0023043D" w:rsidRDefault="00EF0D2F" w:rsidP="00EF0D2F">
      <w:pPr>
        <w:numPr>
          <w:ilvl w:val="1"/>
          <w:numId w:val="9"/>
        </w:numPr>
        <w:tabs>
          <w:tab w:val="left" w:pos="7650"/>
        </w:tabs>
      </w:pPr>
      <w:r w:rsidRPr="0023043D">
        <w:t xml:space="preserve">Doing so will </w:t>
      </w:r>
      <w:r w:rsidRPr="0023043D">
        <w:rPr>
          <w:b/>
          <w:bCs/>
        </w:rPr>
        <w:t>increase efficiency, reduce wasted hours, and sharpen overall forecasting alignment.</w:t>
      </w:r>
    </w:p>
    <w:p w14:paraId="1ECCC422" w14:textId="77777777" w:rsidR="00EF0D2F" w:rsidRPr="0023043D" w:rsidRDefault="00000000" w:rsidP="00EF0D2F">
      <w:pPr>
        <w:tabs>
          <w:tab w:val="left" w:pos="7650"/>
        </w:tabs>
      </w:pPr>
      <w:r>
        <w:pict w14:anchorId="5F2C9FBF">
          <v:rect id="_x0000_i1034" style="width:0;height:1.5pt" o:hralign="center" o:hrstd="t" o:hr="t" fillcolor="#a0a0a0" stroked="f"/>
        </w:pict>
      </w:r>
    </w:p>
    <w:p w14:paraId="308D21B2" w14:textId="77777777" w:rsidR="00EF0D2F" w:rsidRPr="0023043D" w:rsidRDefault="00EF0D2F" w:rsidP="00EF0D2F">
      <w:pPr>
        <w:tabs>
          <w:tab w:val="left" w:pos="7650"/>
        </w:tabs>
        <w:rPr>
          <w:b/>
          <w:bCs/>
        </w:rPr>
      </w:pPr>
      <w:r w:rsidRPr="0023043D">
        <w:rPr>
          <w:rFonts w:ascii="Segoe UI Emoji" w:hAnsi="Segoe UI Emoji" w:cs="Segoe UI Emoji"/>
          <w:b/>
          <w:bCs/>
        </w:rPr>
        <w:t>✅</w:t>
      </w:r>
      <w:r w:rsidRPr="0023043D">
        <w:rPr>
          <w:b/>
          <w:bCs/>
        </w:rPr>
        <w:t xml:space="preserve"> Executive Reliability Score</w:t>
      </w:r>
    </w:p>
    <w:p w14:paraId="31527F3C" w14:textId="77777777" w:rsidR="00EF0D2F" w:rsidRPr="0023043D" w:rsidRDefault="00EF0D2F" w:rsidP="00EF0D2F">
      <w:pPr>
        <w:tabs>
          <w:tab w:val="left" w:pos="7650"/>
        </w:tabs>
      </w:pPr>
      <w:r w:rsidRPr="0023043D">
        <w:rPr>
          <w:rFonts w:ascii="Segoe UI Emoji" w:hAnsi="Segoe UI Emoji" w:cs="Segoe UI Emoji"/>
          <w:b/>
          <w:bCs/>
        </w:rPr>
        <w:t>✨</w:t>
      </w:r>
      <w:r w:rsidRPr="0023043D">
        <w:rPr>
          <w:b/>
          <w:bCs/>
        </w:rPr>
        <w:t xml:space="preserve"> Excellent – 95–98% Confidence</w:t>
      </w:r>
      <w:r w:rsidRPr="0023043D">
        <w:br/>
        <w:t>The predictive model is a proven, dependable compass for decision-making. For leadership, the clear takeaway is this:</w:t>
      </w:r>
    </w:p>
    <w:p w14:paraId="44E7E4E8" w14:textId="77777777" w:rsidR="00EF0D2F" w:rsidRPr="0023043D" w:rsidRDefault="00EF0D2F" w:rsidP="00EF0D2F">
      <w:pPr>
        <w:numPr>
          <w:ilvl w:val="0"/>
          <w:numId w:val="10"/>
        </w:numPr>
        <w:tabs>
          <w:tab w:val="left" w:pos="7650"/>
        </w:tabs>
      </w:pPr>
      <w:r w:rsidRPr="0023043D">
        <w:rPr>
          <w:b/>
          <w:bCs/>
        </w:rPr>
        <w:t>Trust the model for revenue forecasting and strategic direction.</w:t>
      </w:r>
    </w:p>
    <w:p w14:paraId="0F457665" w14:textId="77777777" w:rsidR="00EF0D2F" w:rsidRPr="0023043D" w:rsidRDefault="00EF0D2F" w:rsidP="00EF0D2F">
      <w:pPr>
        <w:numPr>
          <w:ilvl w:val="0"/>
          <w:numId w:val="10"/>
        </w:numPr>
        <w:tabs>
          <w:tab w:val="left" w:pos="7650"/>
        </w:tabs>
      </w:pPr>
      <w:r w:rsidRPr="0023043D">
        <w:rPr>
          <w:b/>
          <w:bCs/>
        </w:rPr>
        <w:t>Target outlier reduction to unlock new layers of efficiency.</w:t>
      </w:r>
    </w:p>
    <w:p w14:paraId="76DBB98F" w14:textId="77777777" w:rsidR="00EF0D2F" w:rsidRPr="0023043D" w:rsidRDefault="00000000" w:rsidP="00EF0D2F">
      <w:pPr>
        <w:tabs>
          <w:tab w:val="left" w:pos="7650"/>
        </w:tabs>
      </w:pPr>
      <w:r>
        <w:pict w14:anchorId="4DF9394E">
          <v:rect id="_x0000_i1035" style="width:0;height:1.5pt" o:hralign="center" o:hrstd="t" o:hr="t" fillcolor="#a0a0a0" stroked="f"/>
        </w:pict>
      </w:r>
    </w:p>
    <w:p w14:paraId="666A9DFB" w14:textId="77777777" w:rsidR="00EF0D2F" w:rsidRPr="0023043D" w:rsidRDefault="00EF0D2F" w:rsidP="00EF0D2F">
      <w:pPr>
        <w:tabs>
          <w:tab w:val="left" w:pos="7650"/>
        </w:tabs>
        <w:rPr>
          <w:b/>
          <w:bCs/>
        </w:rPr>
      </w:pPr>
      <w:r w:rsidRPr="0023043D">
        <w:rPr>
          <w:b/>
          <w:bCs/>
        </w:rPr>
        <w:t>Final Word</w:t>
      </w:r>
    </w:p>
    <w:p w14:paraId="233B89EA" w14:textId="77777777" w:rsidR="00EF0D2F" w:rsidRPr="0023043D" w:rsidRDefault="00EF0D2F" w:rsidP="00EF0D2F">
      <w:pPr>
        <w:tabs>
          <w:tab w:val="left" w:pos="7650"/>
        </w:tabs>
      </w:pPr>
      <w:r w:rsidRPr="0023043D">
        <w:t xml:space="preserve">The Outlier Dashboard tells a story of two worlds: the </w:t>
      </w:r>
      <w:r w:rsidRPr="0023043D">
        <w:rPr>
          <w:b/>
          <w:bCs/>
        </w:rPr>
        <w:t>normal segment</w:t>
      </w:r>
      <w:r w:rsidRPr="0023043D">
        <w:t xml:space="preserve">, a well-oiled machine driving growth with precision and reliability, and the </w:t>
      </w:r>
      <w:r w:rsidRPr="0023043D">
        <w:rPr>
          <w:b/>
          <w:bCs/>
        </w:rPr>
        <w:t>outlier segment</w:t>
      </w:r>
      <w:r w:rsidRPr="0023043D">
        <w:t xml:space="preserve">, a cautionary tale of inefficiency. For executives, the insight is sharp: </w:t>
      </w:r>
      <w:r w:rsidRPr="0023043D">
        <w:rPr>
          <w:i/>
          <w:iCs/>
        </w:rPr>
        <w:t>the model works—focus now shifts to operational discipline to ensure every invested hour translates into meaningful revenue.</w:t>
      </w:r>
    </w:p>
    <w:p w14:paraId="3E26A6C8" w14:textId="77777777" w:rsidR="00EF0D2F" w:rsidRDefault="00EF0D2F"/>
    <w:p w14:paraId="40FE618C" w14:textId="77777777" w:rsidR="00334BC3" w:rsidRDefault="00334BC3"/>
    <w:p w14:paraId="3262F921" w14:textId="77777777" w:rsidR="00334BC3" w:rsidRDefault="00334BC3"/>
    <w:p w14:paraId="7AE2F29E" w14:textId="77777777" w:rsidR="00334BC3" w:rsidRDefault="00334BC3"/>
    <w:p w14:paraId="01187406" w14:textId="77777777" w:rsidR="00334BC3" w:rsidRDefault="00334BC3"/>
    <w:p w14:paraId="67987F3D" w14:textId="77777777" w:rsidR="00334BC3" w:rsidRDefault="00334BC3"/>
    <w:p w14:paraId="680F6729" w14:textId="77777777" w:rsidR="00334BC3" w:rsidRDefault="00334BC3"/>
    <w:p w14:paraId="344FA4A2" w14:textId="77777777" w:rsidR="00334BC3" w:rsidRDefault="00334BC3"/>
    <w:p w14:paraId="36362E02" w14:textId="77777777" w:rsidR="00334BC3" w:rsidRDefault="00334BC3"/>
    <w:p w14:paraId="49B03A19" w14:textId="77777777" w:rsidR="002E410B" w:rsidRDefault="002E410B"/>
    <w:p w14:paraId="62EEDC28" w14:textId="17769C30" w:rsidR="00334BC3" w:rsidRPr="00C4553A" w:rsidRDefault="002E410B" w:rsidP="00334BC3">
      <w:pPr>
        <w:tabs>
          <w:tab w:val="left" w:pos="7650"/>
        </w:tabs>
        <w:rPr>
          <w:b/>
          <w:bCs/>
          <w:sz w:val="32"/>
          <w:szCs w:val="32"/>
        </w:rPr>
      </w:pPr>
      <w:r>
        <w:rPr>
          <w:b/>
          <w:bCs/>
          <w:sz w:val="32"/>
          <w:szCs w:val="32"/>
        </w:rPr>
        <w:t>REVENUE PERFORMANCE AND TREND</w:t>
      </w:r>
    </w:p>
    <w:p w14:paraId="0080C845" w14:textId="77777777" w:rsidR="00334BC3" w:rsidRPr="00C4553A" w:rsidRDefault="00334BC3" w:rsidP="00334BC3">
      <w:pPr>
        <w:tabs>
          <w:tab w:val="left" w:pos="7650"/>
        </w:tabs>
      </w:pPr>
      <w:r w:rsidRPr="00C4553A">
        <w:t>When I first looked at the dashboard, it wasn’t just about charts, tables, and KPIs — it was about finding the story the numbers wanted to tell.</w:t>
      </w:r>
    </w:p>
    <w:p w14:paraId="678FBB75" w14:textId="4EB0542C" w:rsidR="00334BC3" w:rsidRPr="00C4553A" w:rsidRDefault="00334BC3" w:rsidP="00334BC3">
      <w:pPr>
        <w:tabs>
          <w:tab w:val="left" w:pos="7650"/>
        </w:tabs>
      </w:pPr>
      <w:r w:rsidRPr="00C4553A">
        <w:t>Our organization had set a bold target of ₦200M in annual revenue. At year-end, we achieved ₦195</w:t>
      </w:r>
      <w:r w:rsidR="0059010A">
        <w:t>,320,000</w:t>
      </w:r>
      <w:r w:rsidRPr="00C4553A">
        <w:t>M</w:t>
      </w:r>
      <w:r w:rsidR="0059010A">
        <w:t>illion</w:t>
      </w:r>
      <w:r w:rsidRPr="00C4553A">
        <w:t xml:space="preserve"> — a 97.5% success rate. But what stood out was how closely our predictive model tracked reality, forecasting ₦195</w:t>
      </w:r>
      <w:r w:rsidR="0059010A">
        <w:t xml:space="preserve">,520,000 </w:t>
      </w:r>
      <w:r w:rsidRPr="00C4553A">
        <w:t>M. This near-perfect alignment (a variance of less than 0.5%) showed the strength of our analytics framework.</w:t>
      </w:r>
    </w:p>
    <w:p w14:paraId="101760C8" w14:textId="77777777" w:rsidR="00334BC3" w:rsidRPr="00C4553A" w:rsidRDefault="00334BC3" w:rsidP="00334BC3">
      <w:pPr>
        <w:tabs>
          <w:tab w:val="left" w:pos="7650"/>
        </w:tabs>
      </w:pPr>
      <w:r w:rsidRPr="00C4553A">
        <w:t>In other words: our models didn’t just predict, they guided us with confidence.</w:t>
      </w:r>
    </w:p>
    <w:p w14:paraId="6BE89F76" w14:textId="77777777" w:rsidR="00334BC3" w:rsidRPr="00C4553A" w:rsidRDefault="00000000" w:rsidP="00334BC3">
      <w:pPr>
        <w:tabs>
          <w:tab w:val="left" w:pos="7650"/>
        </w:tabs>
      </w:pPr>
      <w:r>
        <w:pict w14:anchorId="6FD97CA2">
          <v:rect id="_x0000_i1036" style="width:0;height:1.5pt" o:hralign="center" o:hrstd="t" o:hr="t" fillcolor="#a0a0a0" stroked="f"/>
        </w:pict>
      </w:r>
    </w:p>
    <w:p w14:paraId="563A64A8" w14:textId="77777777" w:rsidR="00334BC3" w:rsidRPr="00C4553A" w:rsidRDefault="00334BC3" w:rsidP="00334BC3">
      <w:pPr>
        <w:tabs>
          <w:tab w:val="left" w:pos="7650"/>
        </w:tabs>
      </w:pPr>
      <w:r w:rsidRPr="00C4553A">
        <w:rPr>
          <w:rFonts w:ascii="Segoe UI Emoji" w:hAnsi="Segoe UI Emoji" w:cs="Segoe UI Emoji"/>
        </w:rPr>
        <w:t>🌍</w:t>
      </w:r>
      <w:r w:rsidRPr="00C4553A">
        <w:t xml:space="preserve"> The Regional Storyline</w:t>
      </w:r>
    </w:p>
    <w:p w14:paraId="1934655D" w14:textId="77777777" w:rsidR="00334BC3" w:rsidRPr="00C4553A" w:rsidRDefault="00334BC3" w:rsidP="00334BC3">
      <w:pPr>
        <w:numPr>
          <w:ilvl w:val="0"/>
          <w:numId w:val="11"/>
        </w:numPr>
        <w:tabs>
          <w:tab w:val="left" w:pos="7650"/>
        </w:tabs>
      </w:pPr>
      <w:r w:rsidRPr="00C4553A">
        <w:t>Europe emerged as the growth engine, not just meeting but exceeding expectations by 147%. Each department delivered over ₦14M, showing scalability and balance.</w:t>
      </w:r>
    </w:p>
    <w:p w14:paraId="0A215C95" w14:textId="6D12047B" w:rsidR="00334BC3" w:rsidRPr="00C4553A" w:rsidRDefault="00334BC3" w:rsidP="00334BC3">
      <w:pPr>
        <w:numPr>
          <w:ilvl w:val="0"/>
          <w:numId w:val="11"/>
        </w:numPr>
        <w:tabs>
          <w:tab w:val="left" w:pos="7650"/>
        </w:tabs>
      </w:pPr>
      <w:r w:rsidRPr="00C4553A">
        <w:t>Americas performed steadily at ₦4</w:t>
      </w:r>
      <w:r w:rsidR="0059010A">
        <w:t>8,755,000</w:t>
      </w:r>
      <w:r w:rsidRPr="00C4553A">
        <w:t>M, finishing close to target with a stable quarterly trend. A region built on consistency, not surprises.</w:t>
      </w:r>
    </w:p>
    <w:p w14:paraId="3CE971A8" w14:textId="77777777" w:rsidR="00334BC3" w:rsidRPr="00C4553A" w:rsidRDefault="00334BC3" w:rsidP="00334BC3">
      <w:pPr>
        <w:numPr>
          <w:ilvl w:val="0"/>
          <w:numId w:val="11"/>
        </w:numPr>
        <w:tabs>
          <w:tab w:val="left" w:pos="7650"/>
        </w:tabs>
      </w:pPr>
      <w:r w:rsidRPr="00C4553A">
        <w:t>APAC impressed with its precision: revenue landed almost exactly as predicted (₦48.7M vs. ₦48.9M). This is a region where forecasting models shine — though Tax remains underutilized.</w:t>
      </w:r>
    </w:p>
    <w:p w14:paraId="62BA1657" w14:textId="2D1724D4" w:rsidR="00334BC3" w:rsidRPr="00C4553A" w:rsidRDefault="00334BC3" w:rsidP="00334BC3">
      <w:pPr>
        <w:numPr>
          <w:ilvl w:val="0"/>
          <w:numId w:val="11"/>
        </w:numPr>
        <w:tabs>
          <w:tab w:val="left" w:pos="7650"/>
        </w:tabs>
      </w:pPr>
      <w:r w:rsidRPr="00C4553A">
        <w:t>EMEA, however, told a different story. At just ₦24</w:t>
      </w:r>
      <w:r w:rsidR="0059010A">
        <w:t>,104,000</w:t>
      </w:r>
      <w:r w:rsidRPr="00C4553A">
        <w:t>M</w:t>
      </w:r>
      <w:r w:rsidR="0059010A">
        <w:t>illion</w:t>
      </w:r>
      <w:r w:rsidRPr="00C4553A">
        <w:t xml:space="preserve"> (48% of target), performance lagged significantly despite accurate predictions (₦24.1M predicted). The model was correct — the challenge here was structural weakness in the market itself.</w:t>
      </w:r>
    </w:p>
    <w:p w14:paraId="17F7FF6B" w14:textId="77777777" w:rsidR="00334BC3" w:rsidRPr="00C4553A" w:rsidRDefault="00000000" w:rsidP="00334BC3">
      <w:pPr>
        <w:tabs>
          <w:tab w:val="left" w:pos="7650"/>
        </w:tabs>
      </w:pPr>
      <w:r>
        <w:pict w14:anchorId="058F36F6">
          <v:rect id="_x0000_i1037" style="width:0;height:1.5pt" o:hralign="center" o:hrstd="t" o:hr="t" fillcolor="#a0a0a0" stroked="f"/>
        </w:pict>
      </w:r>
    </w:p>
    <w:p w14:paraId="200E705C" w14:textId="77777777" w:rsidR="00334BC3" w:rsidRPr="00C4553A" w:rsidRDefault="00334BC3" w:rsidP="00334BC3">
      <w:pPr>
        <w:tabs>
          <w:tab w:val="left" w:pos="7650"/>
        </w:tabs>
      </w:pPr>
      <w:r w:rsidRPr="00C4553A">
        <w:rPr>
          <w:rFonts w:ascii="Segoe UI Emoji" w:hAnsi="Segoe UI Emoji" w:cs="Segoe UI Emoji"/>
        </w:rPr>
        <w:t>🏢</w:t>
      </w:r>
      <w:r w:rsidRPr="00C4553A">
        <w:t xml:space="preserve"> Departmental Insights</w:t>
      </w:r>
    </w:p>
    <w:p w14:paraId="64F92DA5" w14:textId="77777777" w:rsidR="00334BC3" w:rsidRPr="00C4553A" w:rsidRDefault="00334BC3" w:rsidP="00334BC3">
      <w:pPr>
        <w:numPr>
          <w:ilvl w:val="0"/>
          <w:numId w:val="12"/>
        </w:numPr>
        <w:tabs>
          <w:tab w:val="left" w:pos="7650"/>
        </w:tabs>
      </w:pPr>
      <w:r w:rsidRPr="00C4553A">
        <w:t>Audit remains the most trusted service, especially for top clients. It’s the anchor of client confidence.</w:t>
      </w:r>
    </w:p>
    <w:p w14:paraId="465903EF" w14:textId="77777777" w:rsidR="00334BC3" w:rsidRPr="00C4553A" w:rsidRDefault="00334BC3" w:rsidP="00334BC3">
      <w:pPr>
        <w:numPr>
          <w:ilvl w:val="0"/>
          <w:numId w:val="12"/>
        </w:numPr>
        <w:tabs>
          <w:tab w:val="left" w:pos="7650"/>
        </w:tabs>
      </w:pPr>
      <w:r w:rsidRPr="00C4553A">
        <w:t>Management &amp; Advisory proved to be the most predictable revenue drivers, with correlations to predictive models above 0.9. These are data-reliable growth engines.</w:t>
      </w:r>
    </w:p>
    <w:p w14:paraId="5FF8BE5D" w14:textId="77777777" w:rsidR="00334BC3" w:rsidRPr="00C4553A" w:rsidRDefault="00334BC3" w:rsidP="00334BC3">
      <w:pPr>
        <w:numPr>
          <w:ilvl w:val="0"/>
          <w:numId w:val="12"/>
        </w:numPr>
        <w:tabs>
          <w:tab w:val="left" w:pos="7650"/>
        </w:tabs>
      </w:pPr>
      <w:r w:rsidRPr="00C4553A">
        <w:t>Legal showed resilience, particularly in Europe, where it achieved 144% of its KPI.</w:t>
      </w:r>
    </w:p>
    <w:p w14:paraId="64ABEE1E" w14:textId="77777777" w:rsidR="00334BC3" w:rsidRPr="00C4553A" w:rsidRDefault="00334BC3" w:rsidP="00334BC3">
      <w:pPr>
        <w:numPr>
          <w:ilvl w:val="0"/>
          <w:numId w:val="12"/>
        </w:numPr>
        <w:tabs>
          <w:tab w:val="left" w:pos="7650"/>
        </w:tabs>
      </w:pPr>
      <w:r w:rsidRPr="00C4553A">
        <w:lastRenderedPageBreak/>
        <w:t>Tax, however, underperformed across most regions. Despite being vital to societal development, it struggled to attract client focus — a clear area for strategic repositioning.</w:t>
      </w:r>
    </w:p>
    <w:p w14:paraId="32DAEA2A" w14:textId="77777777" w:rsidR="00334BC3" w:rsidRPr="00C4553A" w:rsidRDefault="00000000" w:rsidP="00334BC3">
      <w:pPr>
        <w:tabs>
          <w:tab w:val="left" w:pos="7650"/>
        </w:tabs>
      </w:pPr>
      <w:r>
        <w:pict w14:anchorId="623C300A">
          <v:rect id="_x0000_i1038" style="width:0;height:1.5pt" o:hralign="center" o:hrstd="t" o:hr="t" fillcolor="#a0a0a0" stroked="f"/>
        </w:pict>
      </w:r>
    </w:p>
    <w:p w14:paraId="13560B00" w14:textId="77777777" w:rsidR="00334BC3" w:rsidRPr="00C4553A" w:rsidRDefault="00334BC3" w:rsidP="00334BC3">
      <w:pPr>
        <w:tabs>
          <w:tab w:val="left" w:pos="7650"/>
        </w:tabs>
      </w:pPr>
      <w:r w:rsidRPr="00C4553A">
        <w:rPr>
          <w:rFonts w:ascii="Segoe UI Emoji" w:hAnsi="Segoe UI Emoji" w:cs="Segoe UI Emoji"/>
        </w:rPr>
        <w:t>📊</w:t>
      </w:r>
      <w:r w:rsidRPr="00C4553A">
        <w:t xml:space="preserve"> The Quarterly Rhythm</w:t>
      </w:r>
    </w:p>
    <w:p w14:paraId="66F0CC40" w14:textId="77777777" w:rsidR="00334BC3" w:rsidRPr="00003710" w:rsidRDefault="00334BC3" w:rsidP="00334BC3">
      <w:pPr>
        <w:tabs>
          <w:tab w:val="left" w:pos="7650"/>
        </w:tabs>
      </w:pPr>
      <w:r w:rsidRPr="00C4553A">
        <w:t>Across all regions, revenue climbed steadily from ₦47.9M in Q1 → ₦49.6M in Q4, with the strongest surge in Q3. This revealed a seasonal pattern: mid-year is our window of peak client engagement.</w:t>
      </w:r>
    </w:p>
    <w:p w14:paraId="3ED89781" w14:textId="77777777" w:rsidR="00334BC3" w:rsidRPr="00D90B9B" w:rsidRDefault="00334BC3" w:rsidP="00334BC3">
      <w:pPr>
        <w:tabs>
          <w:tab w:val="left" w:pos="7650"/>
        </w:tabs>
      </w:pPr>
      <w:r w:rsidRPr="00D90B9B">
        <w:rPr>
          <w:rFonts w:ascii="Segoe UI Emoji" w:hAnsi="Segoe UI Emoji" w:cs="Segoe UI Emoji"/>
        </w:rPr>
        <w:t>📊</w:t>
      </w:r>
      <w:r w:rsidRPr="00D90B9B">
        <w:t xml:space="preserve"> Quarterly Revenue Storyline: From Steady Start to Peak Engagement</w:t>
      </w:r>
    </w:p>
    <w:p w14:paraId="16390B0E" w14:textId="77777777" w:rsidR="00334BC3" w:rsidRPr="00D90B9B" w:rsidRDefault="00334BC3" w:rsidP="00334BC3">
      <w:pPr>
        <w:tabs>
          <w:tab w:val="left" w:pos="7650"/>
        </w:tabs>
      </w:pPr>
      <w:r w:rsidRPr="00D90B9B">
        <w:t>Q1: The Steady Opening</w:t>
      </w:r>
    </w:p>
    <w:p w14:paraId="2569CDBD" w14:textId="77777777" w:rsidR="00334BC3" w:rsidRPr="00D90B9B" w:rsidRDefault="00334BC3" w:rsidP="00334BC3">
      <w:pPr>
        <w:tabs>
          <w:tab w:val="left" w:pos="7650"/>
        </w:tabs>
      </w:pPr>
      <w:r w:rsidRPr="00D90B9B">
        <w:t>The year began on solid footing with ₦47.9M in revenue. This quarter acted as a baseline — no major surges, no dramatic drops. It reflected a period of client stabilization after year-end cycles, where organizations often pause to reassess before re-engaging.</w:t>
      </w:r>
    </w:p>
    <w:p w14:paraId="6706813B" w14:textId="77777777" w:rsidR="00334BC3" w:rsidRPr="00D90B9B" w:rsidRDefault="00334BC3" w:rsidP="00334BC3">
      <w:pPr>
        <w:tabs>
          <w:tab w:val="left" w:pos="7650"/>
        </w:tabs>
      </w:pPr>
      <w:r w:rsidRPr="00D90B9B">
        <w:rPr>
          <w:rFonts w:ascii="Segoe UI Emoji" w:hAnsi="Segoe UI Emoji" w:cs="Segoe UI Emoji"/>
        </w:rPr>
        <w:t>👉</w:t>
      </w:r>
      <w:r w:rsidRPr="00D90B9B">
        <w:t xml:space="preserve"> Q1 was about setting the tone rather than breaking records.</w:t>
      </w:r>
    </w:p>
    <w:p w14:paraId="7F98AFC3" w14:textId="77777777" w:rsidR="00334BC3" w:rsidRPr="00D90B9B" w:rsidRDefault="00000000" w:rsidP="00334BC3">
      <w:pPr>
        <w:tabs>
          <w:tab w:val="left" w:pos="7650"/>
        </w:tabs>
      </w:pPr>
      <w:r>
        <w:pict w14:anchorId="3A0BE412">
          <v:rect id="_x0000_i1039" style="width:0;height:1.5pt" o:hralign="center" o:hrstd="t" o:hr="t" fillcolor="#a0a0a0" stroked="f"/>
        </w:pict>
      </w:r>
    </w:p>
    <w:p w14:paraId="1F9BCB4C" w14:textId="77777777" w:rsidR="00334BC3" w:rsidRPr="00D90B9B" w:rsidRDefault="00334BC3" w:rsidP="00334BC3">
      <w:pPr>
        <w:tabs>
          <w:tab w:val="left" w:pos="7650"/>
        </w:tabs>
      </w:pPr>
      <w:r w:rsidRPr="00D90B9B">
        <w:t>Q2: The Gradual Climb</w:t>
      </w:r>
    </w:p>
    <w:p w14:paraId="36D2D509" w14:textId="77777777" w:rsidR="00334BC3" w:rsidRPr="00D90B9B" w:rsidRDefault="00334BC3" w:rsidP="00334BC3">
      <w:pPr>
        <w:tabs>
          <w:tab w:val="left" w:pos="7650"/>
        </w:tabs>
      </w:pPr>
      <w:r w:rsidRPr="00D90B9B">
        <w:t>Revenue edged up to ₦48.2M, a ₦0.3M increase (+0.6%) from Q1. This was a modest rise, but an important signal: momentum was beginning to build.</w:t>
      </w:r>
    </w:p>
    <w:p w14:paraId="51439D79" w14:textId="77777777" w:rsidR="00334BC3" w:rsidRPr="00D90B9B" w:rsidRDefault="00334BC3" w:rsidP="00334BC3">
      <w:pPr>
        <w:numPr>
          <w:ilvl w:val="0"/>
          <w:numId w:val="15"/>
        </w:numPr>
        <w:tabs>
          <w:tab w:val="left" w:pos="7650"/>
        </w:tabs>
      </w:pPr>
      <w:r w:rsidRPr="00D90B9B">
        <w:t>Stronger engagement from Audit and Management drove much of this growth.</w:t>
      </w:r>
    </w:p>
    <w:p w14:paraId="29FD17AE" w14:textId="77777777" w:rsidR="00334BC3" w:rsidRPr="00D90B9B" w:rsidRDefault="00334BC3" w:rsidP="00334BC3">
      <w:pPr>
        <w:numPr>
          <w:ilvl w:val="0"/>
          <w:numId w:val="15"/>
        </w:numPr>
        <w:tabs>
          <w:tab w:val="left" w:pos="7650"/>
        </w:tabs>
      </w:pPr>
      <w:r w:rsidRPr="00D90B9B">
        <w:t>However, some departments (especially Tax) lagged, holding back a sharper rise.</w:t>
      </w:r>
    </w:p>
    <w:p w14:paraId="6D823730" w14:textId="77777777" w:rsidR="00334BC3" w:rsidRPr="00D90B9B" w:rsidRDefault="00334BC3" w:rsidP="00334BC3">
      <w:pPr>
        <w:tabs>
          <w:tab w:val="left" w:pos="7650"/>
        </w:tabs>
      </w:pPr>
      <w:r w:rsidRPr="00D90B9B">
        <w:rPr>
          <w:rFonts w:ascii="Segoe UI Emoji" w:hAnsi="Segoe UI Emoji" w:cs="Segoe UI Emoji"/>
        </w:rPr>
        <w:t>👉</w:t>
      </w:r>
      <w:r w:rsidRPr="00D90B9B">
        <w:t xml:space="preserve"> Q2 represented early signs of confidence, but still in the cautious zone.</w:t>
      </w:r>
    </w:p>
    <w:p w14:paraId="378C297E" w14:textId="77777777" w:rsidR="00334BC3" w:rsidRPr="00D90B9B" w:rsidRDefault="00000000" w:rsidP="00334BC3">
      <w:pPr>
        <w:tabs>
          <w:tab w:val="left" w:pos="7650"/>
        </w:tabs>
      </w:pPr>
      <w:r>
        <w:pict w14:anchorId="75396AB7">
          <v:rect id="_x0000_i1040" style="width:0;height:1.5pt" o:hralign="center" o:hrstd="t" o:hr="t" fillcolor="#a0a0a0" stroked="f"/>
        </w:pict>
      </w:r>
    </w:p>
    <w:p w14:paraId="1720A6C2" w14:textId="77777777" w:rsidR="00334BC3" w:rsidRPr="00D90B9B" w:rsidRDefault="00334BC3" w:rsidP="00334BC3">
      <w:pPr>
        <w:tabs>
          <w:tab w:val="left" w:pos="7650"/>
        </w:tabs>
      </w:pPr>
      <w:r w:rsidRPr="00D90B9B">
        <w:t>Q3: The Breakthrough Quarter</w:t>
      </w:r>
    </w:p>
    <w:p w14:paraId="5AAA2E1A" w14:textId="77777777" w:rsidR="00334BC3" w:rsidRPr="00D90B9B" w:rsidRDefault="00334BC3" w:rsidP="00334BC3">
      <w:pPr>
        <w:tabs>
          <w:tab w:val="left" w:pos="7650"/>
        </w:tabs>
      </w:pPr>
      <w:r w:rsidRPr="00D90B9B">
        <w:t>The real shift came in Q3, with revenue climbing to ₦49.3M, a ₦1.1M jump (+2.3%) over Q2. This was the highest quarterly surge of the year, marking the point where client engagement peaked.</w:t>
      </w:r>
    </w:p>
    <w:p w14:paraId="4DB77C2D" w14:textId="77777777" w:rsidR="00334BC3" w:rsidRPr="00D90B9B" w:rsidRDefault="00334BC3" w:rsidP="00334BC3">
      <w:pPr>
        <w:numPr>
          <w:ilvl w:val="0"/>
          <w:numId w:val="16"/>
        </w:numPr>
        <w:tabs>
          <w:tab w:val="left" w:pos="7650"/>
        </w:tabs>
      </w:pPr>
      <w:r w:rsidRPr="00D90B9B">
        <w:t>Europe and APAC were the star performers, driving much of this growth.</w:t>
      </w:r>
    </w:p>
    <w:p w14:paraId="1323B74C" w14:textId="77777777" w:rsidR="00334BC3" w:rsidRPr="00D90B9B" w:rsidRDefault="00334BC3" w:rsidP="00334BC3">
      <w:pPr>
        <w:numPr>
          <w:ilvl w:val="0"/>
          <w:numId w:val="16"/>
        </w:numPr>
        <w:tabs>
          <w:tab w:val="left" w:pos="7650"/>
        </w:tabs>
      </w:pPr>
      <w:r w:rsidRPr="00D90B9B">
        <w:t>Departments like Management, Audit, and Legal pulled weight across all regions.</w:t>
      </w:r>
    </w:p>
    <w:p w14:paraId="5C3B9621" w14:textId="77777777" w:rsidR="00334BC3" w:rsidRPr="00D90B9B" w:rsidRDefault="00334BC3" w:rsidP="00334BC3">
      <w:pPr>
        <w:tabs>
          <w:tab w:val="left" w:pos="7650"/>
        </w:tabs>
      </w:pPr>
      <w:r w:rsidRPr="00D90B9B">
        <w:rPr>
          <w:rFonts w:ascii="Segoe UI Emoji" w:hAnsi="Segoe UI Emoji" w:cs="Segoe UI Emoji"/>
        </w:rPr>
        <w:lastRenderedPageBreak/>
        <w:t>👉</w:t>
      </w:r>
      <w:r w:rsidRPr="00D90B9B">
        <w:t xml:space="preserve"> Q3 was the sweet spot — the moment when demand, delivery, and prediction aligned most strongly.</w:t>
      </w:r>
    </w:p>
    <w:p w14:paraId="74FB60AD" w14:textId="77777777" w:rsidR="00334BC3" w:rsidRPr="00D90B9B" w:rsidRDefault="00000000" w:rsidP="00334BC3">
      <w:pPr>
        <w:tabs>
          <w:tab w:val="left" w:pos="7650"/>
        </w:tabs>
      </w:pPr>
      <w:r>
        <w:pict w14:anchorId="36BFE910">
          <v:rect id="_x0000_i1041" style="width:0;height:1.5pt" o:hralign="center" o:hrstd="t" o:hr="t" fillcolor="#a0a0a0" stroked="f"/>
        </w:pict>
      </w:r>
    </w:p>
    <w:p w14:paraId="6AB8D43E" w14:textId="77777777" w:rsidR="00334BC3" w:rsidRPr="00D90B9B" w:rsidRDefault="00334BC3" w:rsidP="00334BC3">
      <w:pPr>
        <w:tabs>
          <w:tab w:val="left" w:pos="7650"/>
        </w:tabs>
      </w:pPr>
      <w:r w:rsidRPr="00D90B9B">
        <w:t>Q4: The Closing Push</w:t>
      </w:r>
    </w:p>
    <w:p w14:paraId="4FB3310E" w14:textId="77777777" w:rsidR="00334BC3" w:rsidRPr="00D90B9B" w:rsidRDefault="00334BC3" w:rsidP="00334BC3">
      <w:pPr>
        <w:tabs>
          <w:tab w:val="left" w:pos="7650"/>
        </w:tabs>
      </w:pPr>
      <w:r w:rsidRPr="00D90B9B">
        <w:t>The year ended with ₦49.6M, a ₦0.3M rise (+0.6%) from Q3. While not as sharp as Q3’s surge, this steady finish signaled stability and resilience.</w:t>
      </w:r>
    </w:p>
    <w:p w14:paraId="286DBA75" w14:textId="77777777" w:rsidR="00334BC3" w:rsidRPr="00D90B9B" w:rsidRDefault="00334BC3" w:rsidP="00334BC3">
      <w:pPr>
        <w:numPr>
          <w:ilvl w:val="0"/>
          <w:numId w:val="17"/>
        </w:numPr>
        <w:tabs>
          <w:tab w:val="left" w:pos="7650"/>
        </w:tabs>
      </w:pPr>
      <w:r w:rsidRPr="00D90B9B">
        <w:t>Americas kept consistent momentum.</w:t>
      </w:r>
    </w:p>
    <w:p w14:paraId="1496E237" w14:textId="77777777" w:rsidR="00334BC3" w:rsidRPr="00D90B9B" w:rsidRDefault="00334BC3" w:rsidP="00334BC3">
      <w:pPr>
        <w:numPr>
          <w:ilvl w:val="0"/>
          <w:numId w:val="17"/>
        </w:numPr>
        <w:tabs>
          <w:tab w:val="left" w:pos="7650"/>
        </w:tabs>
      </w:pPr>
      <w:r w:rsidRPr="00D90B9B">
        <w:t>Europe continued exceeding targets.</w:t>
      </w:r>
    </w:p>
    <w:p w14:paraId="7B7104EF" w14:textId="77777777" w:rsidR="00334BC3" w:rsidRPr="00D90B9B" w:rsidRDefault="00334BC3" w:rsidP="00334BC3">
      <w:pPr>
        <w:numPr>
          <w:ilvl w:val="0"/>
          <w:numId w:val="17"/>
        </w:numPr>
        <w:tabs>
          <w:tab w:val="left" w:pos="7650"/>
        </w:tabs>
      </w:pPr>
      <w:r w:rsidRPr="00D90B9B">
        <w:t>EMEA remained a concern, closing the year still below half its target.</w:t>
      </w:r>
    </w:p>
    <w:p w14:paraId="39D7446E" w14:textId="77777777" w:rsidR="00334BC3" w:rsidRPr="00D90B9B" w:rsidRDefault="00334BC3" w:rsidP="00334BC3">
      <w:pPr>
        <w:tabs>
          <w:tab w:val="left" w:pos="7650"/>
        </w:tabs>
      </w:pPr>
      <w:r w:rsidRPr="00D90B9B">
        <w:rPr>
          <w:rFonts w:ascii="Segoe UI Emoji" w:hAnsi="Segoe UI Emoji" w:cs="Segoe UI Emoji"/>
        </w:rPr>
        <w:t>👉</w:t>
      </w:r>
      <w:r w:rsidRPr="00D90B9B">
        <w:t xml:space="preserve"> Q4 was about holding the line and consolidating gains — proof that the growth achieved in Q3 wasn’t a one-time spike.</w:t>
      </w:r>
    </w:p>
    <w:p w14:paraId="1268F054" w14:textId="77777777" w:rsidR="00334BC3" w:rsidRPr="00D90B9B" w:rsidRDefault="00000000" w:rsidP="00334BC3">
      <w:pPr>
        <w:tabs>
          <w:tab w:val="left" w:pos="7650"/>
        </w:tabs>
      </w:pPr>
      <w:r>
        <w:pict w14:anchorId="7B5CEAF1">
          <v:rect id="_x0000_i1042" style="width:0;height:1.5pt" o:hralign="center" o:hrstd="t" o:hr="t" fillcolor="#a0a0a0" stroked="f"/>
        </w:pict>
      </w:r>
    </w:p>
    <w:p w14:paraId="5ED87B1D" w14:textId="77777777" w:rsidR="00334BC3" w:rsidRPr="00D90B9B" w:rsidRDefault="00334BC3" w:rsidP="00334BC3">
      <w:pPr>
        <w:tabs>
          <w:tab w:val="left" w:pos="7650"/>
        </w:tabs>
      </w:pPr>
      <w:r w:rsidRPr="00D90B9B">
        <w:rPr>
          <w:rFonts w:ascii="Segoe UI Emoji" w:hAnsi="Segoe UI Emoji" w:cs="Segoe UI Emoji"/>
        </w:rPr>
        <w:t>📈</w:t>
      </w:r>
      <w:r w:rsidRPr="00D90B9B">
        <w:t xml:space="preserve"> Comparative Insights</w:t>
      </w:r>
    </w:p>
    <w:p w14:paraId="31F7F502" w14:textId="77777777" w:rsidR="00334BC3" w:rsidRPr="00D90B9B" w:rsidRDefault="00334BC3" w:rsidP="00334BC3">
      <w:pPr>
        <w:numPr>
          <w:ilvl w:val="0"/>
          <w:numId w:val="18"/>
        </w:numPr>
        <w:tabs>
          <w:tab w:val="left" w:pos="7650"/>
        </w:tabs>
      </w:pPr>
      <w:r w:rsidRPr="00D90B9B">
        <w:t>Q1 vs Q2 → Early growth, cautious optimism (+₦0.3M).</w:t>
      </w:r>
    </w:p>
    <w:p w14:paraId="107F0FAB" w14:textId="77777777" w:rsidR="00334BC3" w:rsidRPr="00D90B9B" w:rsidRDefault="00334BC3" w:rsidP="00334BC3">
      <w:pPr>
        <w:numPr>
          <w:ilvl w:val="0"/>
          <w:numId w:val="18"/>
        </w:numPr>
        <w:tabs>
          <w:tab w:val="left" w:pos="7650"/>
        </w:tabs>
      </w:pPr>
      <w:r w:rsidRPr="00D90B9B">
        <w:t>Q2 vs Q3 → Clear breakthrough, strongest momentum (+₦1.1M).</w:t>
      </w:r>
    </w:p>
    <w:p w14:paraId="7588C09A" w14:textId="77777777" w:rsidR="00334BC3" w:rsidRPr="00D90B9B" w:rsidRDefault="00334BC3" w:rsidP="00334BC3">
      <w:pPr>
        <w:numPr>
          <w:ilvl w:val="0"/>
          <w:numId w:val="18"/>
        </w:numPr>
        <w:tabs>
          <w:tab w:val="left" w:pos="7650"/>
        </w:tabs>
      </w:pPr>
      <w:r w:rsidRPr="00D90B9B">
        <w:t>Q3 vs Q4 → Stable close, consolidation, not expansion (+₦0.3M).</w:t>
      </w:r>
    </w:p>
    <w:p w14:paraId="1A51B79A" w14:textId="77777777" w:rsidR="00334BC3" w:rsidRPr="00D90B9B" w:rsidRDefault="00334BC3" w:rsidP="00334BC3">
      <w:pPr>
        <w:numPr>
          <w:ilvl w:val="0"/>
          <w:numId w:val="18"/>
        </w:numPr>
        <w:tabs>
          <w:tab w:val="left" w:pos="7650"/>
        </w:tabs>
      </w:pPr>
      <w:r w:rsidRPr="00D90B9B">
        <w:t>Full Year Arc → From ₦47.9M → ₦49.6M, a ₦1.7M gain (+3.6%) across the year, with Q3 as the inflection point.</w:t>
      </w:r>
    </w:p>
    <w:p w14:paraId="4BFD58E6" w14:textId="77777777" w:rsidR="00334BC3" w:rsidRPr="00D90B9B" w:rsidRDefault="00000000" w:rsidP="00334BC3">
      <w:pPr>
        <w:tabs>
          <w:tab w:val="left" w:pos="7650"/>
        </w:tabs>
      </w:pPr>
      <w:r>
        <w:pict w14:anchorId="36AE217A">
          <v:rect id="_x0000_i1043" style="width:0;height:1.5pt" o:hralign="center" o:hrstd="t" o:hr="t" fillcolor="#a0a0a0" stroked="f"/>
        </w:pict>
      </w:r>
    </w:p>
    <w:p w14:paraId="5148541C" w14:textId="77777777" w:rsidR="00334BC3" w:rsidRPr="00D90B9B" w:rsidRDefault="00334BC3" w:rsidP="00334BC3">
      <w:pPr>
        <w:tabs>
          <w:tab w:val="left" w:pos="7650"/>
        </w:tabs>
      </w:pPr>
      <w:r w:rsidRPr="00D90B9B">
        <w:rPr>
          <w:rFonts w:ascii="Segoe UI Emoji" w:hAnsi="Segoe UI Emoji" w:cs="Segoe UI Emoji"/>
        </w:rPr>
        <w:t>✨</w:t>
      </w:r>
      <w:r w:rsidRPr="00D90B9B">
        <w:t xml:space="preserve"> Story for Decision-Makers:</w:t>
      </w:r>
      <w:r w:rsidRPr="00D90B9B">
        <w:br/>
        <w:t>The quarterly trend shows that our predictive model captured the rhythm of the business:</w:t>
      </w:r>
    </w:p>
    <w:p w14:paraId="5ECF86DE" w14:textId="77777777" w:rsidR="00334BC3" w:rsidRPr="00D90B9B" w:rsidRDefault="00334BC3" w:rsidP="00334BC3">
      <w:pPr>
        <w:numPr>
          <w:ilvl w:val="0"/>
          <w:numId w:val="19"/>
        </w:numPr>
        <w:tabs>
          <w:tab w:val="left" w:pos="7650"/>
        </w:tabs>
      </w:pPr>
      <w:r w:rsidRPr="00D90B9B">
        <w:t>A slow but steady start (Q1, Q2).</w:t>
      </w:r>
    </w:p>
    <w:p w14:paraId="5A75E48A" w14:textId="77777777" w:rsidR="00334BC3" w:rsidRPr="00D90B9B" w:rsidRDefault="00334BC3" w:rsidP="00334BC3">
      <w:pPr>
        <w:numPr>
          <w:ilvl w:val="0"/>
          <w:numId w:val="19"/>
        </w:numPr>
        <w:tabs>
          <w:tab w:val="left" w:pos="7650"/>
        </w:tabs>
      </w:pPr>
      <w:r w:rsidRPr="00D90B9B">
        <w:t>A mid-year acceleration (Q3) — the true growth driver.</w:t>
      </w:r>
    </w:p>
    <w:p w14:paraId="77CD5F91" w14:textId="77777777" w:rsidR="00334BC3" w:rsidRPr="00D90B9B" w:rsidRDefault="00334BC3" w:rsidP="00334BC3">
      <w:pPr>
        <w:numPr>
          <w:ilvl w:val="0"/>
          <w:numId w:val="19"/>
        </w:numPr>
        <w:tabs>
          <w:tab w:val="left" w:pos="7650"/>
        </w:tabs>
      </w:pPr>
      <w:r w:rsidRPr="00D90B9B">
        <w:t>A year-end consolidation (Q4), ensuring no backward slide.</w:t>
      </w:r>
    </w:p>
    <w:p w14:paraId="1CD82AEC" w14:textId="77777777" w:rsidR="00334BC3" w:rsidRPr="00D90B9B" w:rsidRDefault="00334BC3" w:rsidP="00334BC3">
      <w:pPr>
        <w:tabs>
          <w:tab w:val="left" w:pos="7650"/>
        </w:tabs>
      </w:pPr>
      <w:r w:rsidRPr="00D90B9B">
        <w:rPr>
          <w:rFonts w:ascii="Segoe UI Emoji" w:hAnsi="Segoe UI Emoji" w:cs="Segoe UI Emoji"/>
        </w:rPr>
        <w:t>🔑</w:t>
      </w:r>
      <w:r w:rsidRPr="00D90B9B">
        <w:t xml:space="preserve"> The key lesson? Q3 is the season of peak opportunity. If we double down on client acquisition and targeted service delivery in this window, annual revenue can move beyond incremental growth into exponential territory.</w:t>
      </w:r>
    </w:p>
    <w:p w14:paraId="2BF37348" w14:textId="77777777" w:rsidR="00334BC3" w:rsidRPr="00C4553A" w:rsidRDefault="00334BC3" w:rsidP="00334BC3">
      <w:pPr>
        <w:tabs>
          <w:tab w:val="left" w:pos="7650"/>
        </w:tabs>
      </w:pPr>
    </w:p>
    <w:p w14:paraId="359A58F0" w14:textId="77777777" w:rsidR="00334BC3" w:rsidRPr="00C4553A" w:rsidRDefault="00000000" w:rsidP="00334BC3">
      <w:pPr>
        <w:tabs>
          <w:tab w:val="left" w:pos="7650"/>
        </w:tabs>
      </w:pPr>
      <w:r>
        <w:lastRenderedPageBreak/>
        <w:pict w14:anchorId="51471DF6">
          <v:rect id="_x0000_i1044" style="width:0;height:1.5pt" o:hralign="center" o:hrstd="t" o:hr="t" fillcolor="#a0a0a0" stroked="f"/>
        </w:pict>
      </w:r>
    </w:p>
    <w:p w14:paraId="7D52C979" w14:textId="77777777" w:rsidR="00334BC3" w:rsidRPr="00C4553A" w:rsidRDefault="00334BC3" w:rsidP="00334BC3">
      <w:pPr>
        <w:tabs>
          <w:tab w:val="left" w:pos="7650"/>
        </w:tabs>
      </w:pPr>
      <w:r w:rsidRPr="00C4553A">
        <w:rPr>
          <w:rFonts w:ascii="Segoe UI Emoji" w:hAnsi="Segoe UI Emoji" w:cs="Segoe UI Emoji"/>
        </w:rPr>
        <w:t>🔮</w:t>
      </w:r>
      <w:r w:rsidRPr="00C4553A">
        <w:t xml:space="preserve"> What We Learned About the Predictive Model</w:t>
      </w:r>
    </w:p>
    <w:p w14:paraId="6C082270" w14:textId="77777777" w:rsidR="00334BC3" w:rsidRPr="00C4553A" w:rsidRDefault="00334BC3" w:rsidP="00334BC3">
      <w:pPr>
        <w:tabs>
          <w:tab w:val="left" w:pos="7650"/>
        </w:tabs>
      </w:pPr>
      <w:r w:rsidRPr="00C4553A">
        <w:t>The predictive revenue analysis tells two important stories:</w:t>
      </w:r>
    </w:p>
    <w:p w14:paraId="0F1E09B8" w14:textId="77777777" w:rsidR="00334BC3" w:rsidRPr="00C4553A" w:rsidRDefault="00334BC3" w:rsidP="00334BC3">
      <w:pPr>
        <w:numPr>
          <w:ilvl w:val="0"/>
          <w:numId w:val="13"/>
        </w:numPr>
        <w:tabs>
          <w:tab w:val="left" w:pos="7650"/>
        </w:tabs>
      </w:pPr>
      <w:r w:rsidRPr="00C4553A">
        <w:t>Accuracy where conditions are stable → In APAC, Americas, and Europe, predictions closely matched actuals, proving our models are robust when markets behave consistently.</w:t>
      </w:r>
    </w:p>
    <w:p w14:paraId="0E678208" w14:textId="77777777" w:rsidR="00334BC3" w:rsidRPr="00C4553A" w:rsidRDefault="00334BC3" w:rsidP="00334BC3">
      <w:pPr>
        <w:numPr>
          <w:ilvl w:val="0"/>
          <w:numId w:val="13"/>
        </w:numPr>
        <w:tabs>
          <w:tab w:val="left" w:pos="7650"/>
        </w:tabs>
      </w:pPr>
      <w:r w:rsidRPr="00C4553A">
        <w:t>Reality check where demand is weak → In EMEA, predictions aligned perfectly with actuals, but revenue still lagged at 48% of target. The model wasn’t wrong — it simply confirmed that analytics cannot compensate for weak client demand.</w:t>
      </w:r>
    </w:p>
    <w:p w14:paraId="33F42A80" w14:textId="77777777" w:rsidR="00334BC3" w:rsidRPr="00C4553A" w:rsidRDefault="00334BC3" w:rsidP="00334BC3">
      <w:pPr>
        <w:tabs>
          <w:tab w:val="left" w:pos="7650"/>
        </w:tabs>
      </w:pPr>
      <w:r w:rsidRPr="00C4553A">
        <w:rPr>
          <w:rFonts w:ascii="Segoe UI Emoji" w:hAnsi="Segoe UI Emoji" w:cs="Segoe UI Emoji"/>
        </w:rPr>
        <w:t>👉</w:t>
      </w:r>
      <w:r w:rsidRPr="00C4553A">
        <w:t xml:space="preserve"> This distinction is critical for decision-makers: a good model doesn’t always mean good results, but it helps leaders see where strategy — not analytics — needs fixing.</w:t>
      </w:r>
    </w:p>
    <w:p w14:paraId="390F2FD1" w14:textId="77777777" w:rsidR="00334BC3" w:rsidRPr="00C4553A" w:rsidRDefault="00000000" w:rsidP="00334BC3">
      <w:pPr>
        <w:tabs>
          <w:tab w:val="left" w:pos="7650"/>
        </w:tabs>
      </w:pPr>
      <w:r>
        <w:pict w14:anchorId="30553BA3">
          <v:rect id="_x0000_i1045" style="width:0;height:1.5pt" o:hralign="center" o:hrstd="t" o:hr="t" fillcolor="#a0a0a0" stroked="f"/>
        </w:pict>
      </w:r>
    </w:p>
    <w:p w14:paraId="16AA2B10" w14:textId="77777777" w:rsidR="00334BC3" w:rsidRPr="00C4553A" w:rsidRDefault="00334BC3" w:rsidP="00334BC3">
      <w:pPr>
        <w:tabs>
          <w:tab w:val="left" w:pos="7650"/>
        </w:tabs>
      </w:pPr>
      <w:r w:rsidRPr="00C4553A">
        <w:rPr>
          <w:rFonts w:ascii="Segoe UI Emoji" w:hAnsi="Segoe UI Emoji" w:cs="Segoe UI Emoji"/>
        </w:rPr>
        <w:t>💡</w:t>
      </w:r>
      <w:r w:rsidRPr="00C4553A">
        <w:t xml:space="preserve"> The Bigger Picture</w:t>
      </w:r>
    </w:p>
    <w:p w14:paraId="1942B8E4" w14:textId="77777777" w:rsidR="00334BC3" w:rsidRPr="00C4553A" w:rsidRDefault="00334BC3" w:rsidP="00334BC3">
      <w:pPr>
        <w:tabs>
          <w:tab w:val="left" w:pos="7650"/>
        </w:tabs>
      </w:pPr>
      <w:r w:rsidRPr="00C4553A">
        <w:t>The data painted three clear narratives for decision-makers:</w:t>
      </w:r>
    </w:p>
    <w:p w14:paraId="2FBBBF85" w14:textId="77777777" w:rsidR="00334BC3" w:rsidRPr="00C4553A" w:rsidRDefault="00334BC3" w:rsidP="00334BC3">
      <w:pPr>
        <w:numPr>
          <w:ilvl w:val="0"/>
          <w:numId w:val="14"/>
        </w:numPr>
        <w:tabs>
          <w:tab w:val="left" w:pos="7650"/>
        </w:tabs>
      </w:pPr>
      <w:r w:rsidRPr="00C4553A">
        <w:t>Europe sets the benchmark — scalable, balanced, and execution-driven.</w:t>
      </w:r>
    </w:p>
    <w:p w14:paraId="50AF301A" w14:textId="77777777" w:rsidR="00334BC3" w:rsidRPr="00C4553A" w:rsidRDefault="00334BC3" w:rsidP="00334BC3">
      <w:pPr>
        <w:numPr>
          <w:ilvl w:val="0"/>
          <w:numId w:val="14"/>
        </w:numPr>
        <w:tabs>
          <w:tab w:val="left" w:pos="7650"/>
        </w:tabs>
      </w:pPr>
      <w:r w:rsidRPr="00C4553A">
        <w:t>Americas and APAC provide stability — reliable but with room for innovation.</w:t>
      </w:r>
    </w:p>
    <w:p w14:paraId="6BD526AA" w14:textId="77777777" w:rsidR="00334BC3" w:rsidRPr="00C4553A" w:rsidRDefault="00334BC3" w:rsidP="00334BC3">
      <w:pPr>
        <w:numPr>
          <w:ilvl w:val="0"/>
          <w:numId w:val="14"/>
        </w:numPr>
        <w:tabs>
          <w:tab w:val="left" w:pos="7650"/>
        </w:tabs>
      </w:pPr>
      <w:r w:rsidRPr="00C4553A">
        <w:t>EMEA is the bottleneck — requiring urgent strategy to unlock potential.</w:t>
      </w:r>
    </w:p>
    <w:p w14:paraId="6B394410" w14:textId="77777777" w:rsidR="00334BC3" w:rsidRPr="00C4553A" w:rsidRDefault="00334BC3" w:rsidP="00334BC3">
      <w:pPr>
        <w:numPr>
          <w:ilvl w:val="0"/>
          <w:numId w:val="14"/>
        </w:numPr>
        <w:tabs>
          <w:tab w:val="left" w:pos="7650"/>
        </w:tabs>
      </w:pPr>
      <w:r w:rsidRPr="00C4553A">
        <w:t>Tax services are the missed opportunity — repositioning them could create both business growth and societal value.</w:t>
      </w:r>
    </w:p>
    <w:p w14:paraId="0EF500D8" w14:textId="77777777" w:rsidR="00334BC3" w:rsidRPr="00C4553A" w:rsidRDefault="00000000" w:rsidP="00334BC3">
      <w:pPr>
        <w:tabs>
          <w:tab w:val="left" w:pos="7650"/>
        </w:tabs>
      </w:pPr>
      <w:r>
        <w:pict w14:anchorId="50DDAAD0">
          <v:rect id="_x0000_i1046" style="width:0;height:1.5pt" o:hralign="center" o:hrstd="t" o:hr="t" fillcolor="#a0a0a0" stroked="f"/>
        </w:pict>
      </w:r>
    </w:p>
    <w:p w14:paraId="682E08A7" w14:textId="77777777" w:rsidR="00334BC3" w:rsidRPr="00C4553A" w:rsidRDefault="00334BC3" w:rsidP="00334BC3">
      <w:pPr>
        <w:tabs>
          <w:tab w:val="left" w:pos="7650"/>
        </w:tabs>
      </w:pPr>
      <w:r w:rsidRPr="00C4553A">
        <w:rPr>
          <w:rFonts w:ascii="Segoe UI Emoji" w:hAnsi="Segoe UI Emoji" w:cs="Segoe UI Emoji"/>
        </w:rPr>
        <w:t>✨</w:t>
      </w:r>
      <w:r w:rsidRPr="00C4553A">
        <w:t xml:space="preserve"> For me, this project wasn’t just about building a dashboard in Power BI — it was about showing how data becomes strategy.</w:t>
      </w:r>
    </w:p>
    <w:p w14:paraId="490ED29F" w14:textId="77777777" w:rsidR="00334BC3" w:rsidRDefault="00334BC3" w:rsidP="00334BC3">
      <w:pPr>
        <w:tabs>
          <w:tab w:val="left" w:pos="7650"/>
        </w:tabs>
      </w:pPr>
      <w:r w:rsidRPr="00C4553A">
        <w:t>The numbers told us where we are winning, where we are steady, and where we are falling behind. The predictive models then helped us validate those insights and guide decisions for the next growth phase.</w:t>
      </w:r>
    </w:p>
    <w:p w14:paraId="77A5BC96" w14:textId="77777777" w:rsidR="00334BC3" w:rsidRDefault="00334BC3"/>
    <w:p w14:paraId="53544460" w14:textId="77777777" w:rsidR="00791C2B" w:rsidRDefault="00791C2B" w:rsidP="002405C4">
      <w:pPr>
        <w:tabs>
          <w:tab w:val="left" w:pos="7650"/>
        </w:tabs>
        <w:rPr>
          <w:rFonts w:ascii="Segoe UI Emoji" w:hAnsi="Segoe UI Emoji" w:cs="Segoe UI Emoji"/>
          <w:b/>
          <w:bCs/>
          <w:sz w:val="32"/>
          <w:szCs w:val="32"/>
        </w:rPr>
      </w:pPr>
    </w:p>
    <w:p w14:paraId="622C61CB" w14:textId="77777777" w:rsidR="00791C2B" w:rsidRDefault="00791C2B" w:rsidP="002405C4">
      <w:pPr>
        <w:tabs>
          <w:tab w:val="left" w:pos="7650"/>
        </w:tabs>
        <w:rPr>
          <w:rFonts w:ascii="Segoe UI Emoji" w:hAnsi="Segoe UI Emoji" w:cs="Segoe UI Emoji"/>
          <w:b/>
          <w:bCs/>
          <w:sz w:val="32"/>
          <w:szCs w:val="32"/>
        </w:rPr>
      </w:pPr>
    </w:p>
    <w:p w14:paraId="2794B09E" w14:textId="62D00A6A" w:rsidR="0059010A" w:rsidRDefault="0059010A" w:rsidP="002405C4">
      <w:pPr>
        <w:tabs>
          <w:tab w:val="left" w:pos="7650"/>
        </w:tabs>
        <w:rPr>
          <w:rFonts w:ascii="Segoe UI Emoji" w:hAnsi="Segoe UI Emoji" w:cs="Segoe UI Emoji"/>
          <w:b/>
          <w:bCs/>
          <w:sz w:val="32"/>
          <w:szCs w:val="32"/>
        </w:rPr>
      </w:pPr>
      <w:r>
        <w:rPr>
          <w:rFonts w:ascii="Segoe UI Emoji" w:hAnsi="Segoe UI Emoji" w:cs="Segoe UI Emoji"/>
          <w:b/>
          <w:bCs/>
          <w:sz w:val="32"/>
          <w:szCs w:val="32"/>
        </w:rPr>
        <w:lastRenderedPageBreak/>
        <w:t>COMPARATIVE ANALYSIS</w:t>
      </w:r>
    </w:p>
    <w:p w14:paraId="70F5BF89" w14:textId="0857B3AD" w:rsidR="002405C4" w:rsidRPr="003D53F9" w:rsidRDefault="002405C4" w:rsidP="002405C4">
      <w:pPr>
        <w:tabs>
          <w:tab w:val="left" w:pos="7650"/>
        </w:tabs>
        <w:rPr>
          <w:b/>
          <w:bCs/>
          <w:sz w:val="32"/>
          <w:szCs w:val="32"/>
        </w:rPr>
      </w:pPr>
      <w:r w:rsidRPr="003D53F9">
        <w:rPr>
          <w:rFonts w:ascii="Segoe UI Emoji" w:hAnsi="Segoe UI Emoji" w:cs="Segoe UI Emoji"/>
          <w:b/>
          <w:bCs/>
          <w:sz w:val="32"/>
          <w:szCs w:val="32"/>
        </w:rPr>
        <w:t>🌍</w:t>
      </w:r>
      <w:r w:rsidRPr="003D53F9">
        <w:rPr>
          <w:b/>
          <w:bCs/>
          <w:sz w:val="32"/>
          <w:szCs w:val="32"/>
        </w:rPr>
        <w:t xml:space="preserve"> Regional Comparative Analysis: 2023 in Review</w:t>
      </w:r>
    </w:p>
    <w:p w14:paraId="1EC1CF7A" w14:textId="77777777" w:rsidR="002405C4" w:rsidRPr="00B54AAC" w:rsidRDefault="002405C4" w:rsidP="002405C4">
      <w:pPr>
        <w:tabs>
          <w:tab w:val="left" w:pos="7650"/>
        </w:tabs>
        <w:rPr>
          <w:b/>
          <w:bCs/>
        </w:rPr>
      </w:pPr>
      <w:r w:rsidRPr="00B54AAC">
        <w:rPr>
          <w:b/>
          <w:bCs/>
        </w:rPr>
        <w:t>1. Global View — The Macro Trend</w:t>
      </w:r>
    </w:p>
    <w:p w14:paraId="0C413398" w14:textId="77777777" w:rsidR="002405C4" w:rsidRPr="00B54AAC" w:rsidRDefault="002405C4" w:rsidP="002405C4">
      <w:pPr>
        <w:tabs>
          <w:tab w:val="left" w:pos="7650"/>
        </w:tabs>
      </w:pPr>
      <w:r w:rsidRPr="00B54AAC">
        <w:t xml:space="preserve">The big picture shows a </w:t>
      </w:r>
      <w:r w:rsidRPr="00B54AAC">
        <w:rPr>
          <w:b/>
          <w:bCs/>
        </w:rPr>
        <w:t>6.63% decline in total revenue</w:t>
      </w:r>
      <w:r w:rsidRPr="00B54AAC">
        <w:t xml:space="preserve"> across the year. Revenue peaked mid-year but began a sharp </w:t>
      </w:r>
      <w:r w:rsidRPr="00B54AAC">
        <w:rPr>
          <w:b/>
          <w:bCs/>
        </w:rPr>
        <w:t>8.52% slide from late October to December</w:t>
      </w:r>
      <w:r w:rsidRPr="00B54AAC">
        <w:t xml:space="preserve">. Interestingly, the </w:t>
      </w:r>
      <w:r w:rsidRPr="00B54AAC">
        <w:rPr>
          <w:b/>
          <w:bCs/>
        </w:rPr>
        <w:t>predictive model slightly overestimated performance</w:t>
      </w:r>
      <w:r w:rsidRPr="00B54AAC">
        <w:t xml:space="preserve">, forecasting </w:t>
      </w:r>
      <w:r w:rsidRPr="00B54AAC">
        <w:rPr>
          <w:b/>
          <w:bCs/>
        </w:rPr>
        <w:t>₦16.29M vs. ₦16.27M actual</w:t>
      </w:r>
      <w:r w:rsidRPr="00B54AAC">
        <w:t>.</w:t>
      </w:r>
    </w:p>
    <w:p w14:paraId="3C651181" w14:textId="77777777" w:rsidR="002405C4" w:rsidRPr="00B54AAC" w:rsidRDefault="002405C4" w:rsidP="002405C4">
      <w:pPr>
        <w:tabs>
          <w:tab w:val="left" w:pos="7650"/>
        </w:tabs>
      </w:pPr>
      <w:r w:rsidRPr="00B54AAC">
        <w:rPr>
          <w:rFonts w:ascii="Segoe UI Emoji" w:hAnsi="Segoe UI Emoji" w:cs="Segoe UI Emoji"/>
        </w:rPr>
        <w:t>🔑</w:t>
      </w:r>
      <w:r w:rsidRPr="00B54AAC">
        <w:t xml:space="preserve"> Insight: </w:t>
      </w:r>
      <w:r w:rsidRPr="00B54AAC">
        <w:rPr>
          <w:b/>
          <w:bCs/>
        </w:rPr>
        <w:t>The decline was not a forecasting error — it was a late-year demand issue.</w:t>
      </w:r>
      <w:r w:rsidRPr="00B54AAC">
        <w:t xml:space="preserve"> This tells us strategy, not data science, needs adjustment.</w:t>
      </w:r>
    </w:p>
    <w:p w14:paraId="0C5D600D" w14:textId="77777777" w:rsidR="002405C4" w:rsidRPr="00B54AAC" w:rsidRDefault="00000000" w:rsidP="002405C4">
      <w:pPr>
        <w:tabs>
          <w:tab w:val="left" w:pos="7650"/>
        </w:tabs>
      </w:pPr>
      <w:r>
        <w:pict w14:anchorId="3FF23DFB">
          <v:rect id="_x0000_i1047" style="width:0;height:1.5pt" o:hralign="center" o:hrstd="t" o:hr="t" fillcolor="#a0a0a0" stroked="f"/>
        </w:pict>
      </w:r>
    </w:p>
    <w:p w14:paraId="753A928F" w14:textId="77777777" w:rsidR="002405C4" w:rsidRPr="00B54AAC" w:rsidRDefault="002405C4" w:rsidP="002405C4">
      <w:pPr>
        <w:tabs>
          <w:tab w:val="left" w:pos="7650"/>
        </w:tabs>
        <w:rPr>
          <w:b/>
          <w:bCs/>
        </w:rPr>
      </w:pPr>
      <w:r w:rsidRPr="00B54AAC">
        <w:rPr>
          <w:b/>
          <w:bCs/>
        </w:rPr>
        <w:t>2. Americas — A Year of Decline and Volatility</w:t>
      </w:r>
    </w:p>
    <w:p w14:paraId="63156EDC" w14:textId="77777777" w:rsidR="002405C4" w:rsidRPr="00B54AAC" w:rsidRDefault="002405C4" w:rsidP="002405C4">
      <w:pPr>
        <w:tabs>
          <w:tab w:val="left" w:pos="7650"/>
        </w:tabs>
      </w:pPr>
      <w:r w:rsidRPr="00B54AAC">
        <w:t xml:space="preserve">The Americas faced the </w:t>
      </w:r>
      <w:r w:rsidRPr="00B54AAC">
        <w:rPr>
          <w:b/>
          <w:bCs/>
        </w:rPr>
        <w:t>steepest regional drop (-12.13%)</w:t>
      </w:r>
      <w:r w:rsidRPr="00B54AAC">
        <w:t xml:space="preserve">, with multiple </w:t>
      </w:r>
      <w:r w:rsidRPr="00B54AAC">
        <w:rPr>
          <w:b/>
          <w:bCs/>
        </w:rPr>
        <w:t>month-on-month anomalies</w:t>
      </w:r>
      <w:r w:rsidRPr="00B54AAC">
        <w:t xml:space="preserve">. A high anomaly of </w:t>
      </w:r>
      <w:r w:rsidRPr="00B54AAC">
        <w:rPr>
          <w:b/>
          <w:bCs/>
        </w:rPr>
        <w:t>₦210K (Feb)</w:t>
      </w:r>
      <w:r w:rsidRPr="00B54AAC">
        <w:t xml:space="preserve"> was followed by sharp downturns, including a </w:t>
      </w:r>
      <w:r w:rsidRPr="00B54AAC">
        <w:rPr>
          <w:b/>
          <w:bCs/>
        </w:rPr>
        <w:t>-52.3% revenue swing in December</w:t>
      </w:r>
      <w:r w:rsidRPr="00B54AAC">
        <w:t>.</w:t>
      </w:r>
    </w:p>
    <w:p w14:paraId="484AD1F3" w14:textId="77777777" w:rsidR="002405C4" w:rsidRPr="00B54AAC" w:rsidRDefault="002405C4" w:rsidP="002405C4">
      <w:pPr>
        <w:numPr>
          <w:ilvl w:val="0"/>
          <w:numId w:val="24"/>
        </w:numPr>
        <w:tabs>
          <w:tab w:val="left" w:pos="7650"/>
        </w:tabs>
      </w:pPr>
      <w:r w:rsidRPr="00B54AAC">
        <w:t>Annual range: ₦3.88M – ₦4.50M</w:t>
      </w:r>
    </w:p>
    <w:p w14:paraId="796543EC" w14:textId="77777777" w:rsidR="002405C4" w:rsidRPr="00B54AAC" w:rsidRDefault="002405C4" w:rsidP="002405C4">
      <w:pPr>
        <w:numPr>
          <w:ilvl w:val="0"/>
          <w:numId w:val="24"/>
        </w:numPr>
        <w:tabs>
          <w:tab w:val="left" w:pos="7650"/>
        </w:tabs>
      </w:pPr>
      <w:r w:rsidRPr="00B54AAC">
        <w:t xml:space="preserve">Predictive vs. Actual: </w:t>
      </w:r>
      <w:r w:rsidRPr="00B54AAC">
        <w:rPr>
          <w:b/>
          <w:bCs/>
        </w:rPr>
        <w:t>almost identical (₦4.06M)</w:t>
      </w:r>
    </w:p>
    <w:p w14:paraId="3CEB9D1C" w14:textId="77777777" w:rsidR="002405C4" w:rsidRPr="00B54AAC" w:rsidRDefault="002405C4" w:rsidP="002405C4">
      <w:pPr>
        <w:tabs>
          <w:tab w:val="left" w:pos="7650"/>
        </w:tabs>
      </w:pPr>
      <w:r w:rsidRPr="00B54AAC">
        <w:rPr>
          <w:rFonts w:ascii="Segoe UI Emoji" w:hAnsi="Segoe UI Emoji" w:cs="Segoe UI Emoji"/>
        </w:rPr>
        <w:t>🔑</w:t>
      </w:r>
      <w:r w:rsidRPr="00B54AAC">
        <w:t xml:space="preserve"> Insight: </w:t>
      </w:r>
      <w:r w:rsidRPr="00B54AAC">
        <w:rPr>
          <w:b/>
          <w:bCs/>
        </w:rPr>
        <w:t>Forecasting models were strong</w:t>
      </w:r>
      <w:r w:rsidRPr="00B54AAC">
        <w:t xml:space="preserve">, but client volatility dominated. The Americas are reliable long-term but </w:t>
      </w:r>
      <w:r w:rsidRPr="00B54AAC">
        <w:rPr>
          <w:b/>
          <w:bCs/>
        </w:rPr>
        <w:t>short-term market shocks</w:t>
      </w:r>
      <w:r w:rsidRPr="00B54AAC">
        <w:t xml:space="preserve"> create unpredictable swings.</w:t>
      </w:r>
    </w:p>
    <w:p w14:paraId="35F71610" w14:textId="77777777" w:rsidR="002405C4" w:rsidRPr="00B54AAC" w:rsidRDefault="00000000" w:rsidP="002405C4">
      <w:pPr>
        <w:tabs>
          <w:tab w:val="left" w:pos="7650"/>
        </w:tabs>
      </w:pPr>
      <w:r>
        <w:pict w14:anchorId="4B40A33F">
          <v:rect id="_x0000_i1048" style="width:0;height:1.5pt" o:hralign="center" o:hrstd="t" o:hr="t" fillcolor="#a0a0a0" stroked="f"/>
        </w:pict>
      </w:r>
    </w:p>
    <w:p w14:paraId="631623F3" w14:textId="77777777" w:rsidR="002405C4" w:rsidRPr="00B54AAC" w:rsidRDefault="002405C4" w:rsidP="002405C4">
      <w:pPr>
        <w:tabs>
          <w:tab w:val="left" w:pos="7650"/>
        </w:tabs>
        <w:rPr>
          <w:b/>
          <w:bCs/>
        </w:rPr>
      </w:pPr>
      <w:r w:rsidRPr="00B54AAC">
        <w:rPr>
          <w:b/>
          <w:bCs/>
        </w:rPr>
        <w:t>3. APAC — The Growth Engine</w:t>
      </w:r>
    </w:p>
    <w:p w14:paraId="636E0DB2" w14:textId="77777777" w:rsidR="002405C4" w:rsidRPr="00B54AAC" w:rsidRDefault="002405C4" w:rsidP="002405C4">
      <w:pPr>
        <w:tabs>
          <w:tab w:val="left" w:pos="7650"/>
        </w:tabs>
      </w:pPr>
      <w:r w:rsidRPr="00B54AAC">
        <w:t xml:space="preserve">In contrast, APAC recorded a </w:t>
      </w:r>
      <w:r w:rsidRPr="00B54AAC">
        <w:rPr>
          <w:b/>
          <w:bCs/>
        </w:rPr>
        <w:t>21.45% growth</w:t>
      </w:r>
      <w:r w:rsidRPr="00B54AAC">
        <w:t xml:space="preserve">, the </w:t>
      </w:r>
      <w:r w:rsidRPr="00B54AAC">
        <w:rPr>
          <w:b/>
          <w:bCs/>
        </w:rPr>
        <w:t>highest among all regions</w:t>
      </w:r>
      <w:r w:rsidRPr="00B54AAC">
        <w:t xml:space="preserve">. Despite a </w:t>
      </w:r>
      <w:r w:rsidRPr="00B54AAC">
        <w:rPr>
          <w:b/>
          <w:bCs/>
        </w:rPr>
        <w:t>short March dip (-14.25%)</w:t>
      </w:r>
      <w:r w:rsidRPr="00B54AAC">
        <w:t>, momentum accelerated, with the steepest incline between April and May (+40.6%).</w:t>
      </w:r>
    </w:p>
    <w:p w14:paraId="10105F80" w14:textId="77777777" w:rsidR="002405C4" w:rsidRPr="00B54AAC" w:rsidRDefault="002405C4" w:rsidP="002405C4">
      <w:pPr>
        <w:numPr>
          <w:ilvl w:val="0"/>
          <w:numId w:val="25"/>
        </w:numPr>
        <w:tabs>
          <w:tab w:val="left" w:pos="7650"/>
        </w:tabs>
      </w:pPr>
      <w:r w:rsidRPr="00B54AAC">
        <w:t>Annual range: ₦3.58M – ₦4.29M</w:t>
      </w:r>
    </w:p>
    <w:p w14:paraId="5F2C7250" w14:textId="77777777" w:rsidR="002405C4" w:rsidRPr="00B54AAC" w:rsidRDefault="002405C4" w:rsidP="002405C4">
      <w:pPr>
        <w:numPr>
          <w:ilvl w:val="0"/>
          <w:numId w:val="25"/>
        </w:numPr>
        <w:tabs>
          <w:tab w:val="left" w:pos="7650"/>
        </w:tabs>
      </w:pPr>
      <w:r w:rsidRPr="00B54AAC">
        <w:t xml:space="preserve">Predictive vs. Actual: </w:t>
      </w:r>
      <w:r w:rsidRPr="00B54AAC">
        <w:rPr>
          <w:b/>
          <w:bCs/>
        </w:rPr>
        <w:t>₦4.07M vs. ₦4.06M</w:t>
      </w:r>
      <w:r w:rsidRPr="00B54AAC">
        <w:t xml:space="preserve"> — nearly perfect alignment</w:t>
      </w:r>
    </w:p>
    <w:p w14:paraId="472A4579" w14:textId="77777777" w:rsidR="002405C4" w:rsidRPr="00B54AAC" w:rsidRDefault="002405C4" w:rsidP="002405C4">
      <w:pPr>
        <w:tabs>
          <w:tab w:val="left" w:pos="7650"/>
        </w:tabs>
      </w:pPr>
      <w:r w:rsidRPr="00B54AAC">
        <w:rPr>
          <w:rFonts w:ascii="Segoe UI Emoji" w:hAnsi="Segoe UI Emoji" w:cs="Segoe UI Emoji"/>
        </w:rPr>
        <w:t>🔑</w:t>
      </w:r>
      <w:r w:rsidRPr="00B54AAC">
        <w:t xml:space="preserve"> Insight: APAC is the </w:t>
      </w:r>
      <w:r w:rsidRPr="00B54AAC">
        <w:rPr>
          <w:b/>
          <w:bCs/>
        </w:rPr>
        <w:t>most scalable and predictable growth market</w:t>
      </w:r>
      <w:r w:rsidRPr="00B54AAC">
        <w:t>. Strong alignment between prediction and reality means confidence is high for future expansion.</w:t>
      </w:r>
    </w:p>
    <w:p w14:paraId="3BB807B4" w14:textId="77777777" w:rsidR="002405C4" w:rsidRPr="00B54AAC" w:rsidRDefault="00000000" w:rsidP="002405C4">
      <w:pPr>
        <w:tabs>
          <w:tab w:val="left" w:pos="7650"/>
        </w:tabs>
      </w:pPr>
      <w:r>
        <w:pict w14:anchorId="09C3724B">
          <v:rect id="_x0000_i1049" style="width:0;height:1.5pt" o:hralign="center" o:hrstd="t" o:hr="t" fillcolor="#a0a0a0" stroked="f"/>
        </w:pict>
      </w:r>
    </w:p>
    <w:p w14:paraId="1E0C4894" w14:textId="77777777" w:rsidR="002405C4" w:rsidRPr="00B54AAC" w:rsidRDefault="002405C4" w:rsidP="002405C4">
      <w:pPr>
        <w:tabs>
          <w:tab w:val="left" w:pos="7650"/>
        </w:tabs>
        <w:rPr>
          <w:b/>
          <w:bCs/>
        </w:rPr>
      </w:pPr>
      <w:r w:rsidRPr="00B54AAC">
        <w:rPr>
          <w:b/>
          <w:bCs/>
        </w:rPr>
        <w:lastRenderedPageBreak/>
        <w:t>4. EMEA — The Surprise Performer</w:t>
      </w:r>
    </w:p>
    <w:p w14:paraId="5849147B" w14:textId="77777777" w:rsidR="002405C4" w:rsidRPr="00B54AAC" w:rsidRDefault="002405C4" w:rsidP="002405C4">
      <w:pPr>
        <w:tabs>
          <w:tab w:val="left" w:pos="7650"/>
        </w:tabs>
      </w:pPr>
      <w:r w:rsidRPr="00B54AAC">
        <w:t xml:space="preserve">EMEA defied expectations, achieving </w:t>
      </w:r>
      <w:r w:rsidRPr="00B54AAC">
        <w:rPr>
          <w:b/>
          <w:bCs/>
        </w:rPr>
        <w:t>+33.54% growth</w:t>
      </w:r>
      <w:r w:rsidRPr="00B54AAC">
        <w:t xml:space="preserve">, the </w:t>
      </w:r>
      <w:r w:rsidRPr="00B54AAC">
        <w:rPr>
          <w:b/>
          <w:bCs/>
        </w:rPr>
        <w:t>best trend among all regions</w:t>
      </w:r>
      <w:r w:rsidRPr="00B54AAC">
        <w:t xml:space="preserve">. Momentum surged between March and May (+53.7%), with revenue anomalies peaking at </w:t>
      </w:r>
      <w:r w:rsidRPr="00B54AAC">
        <w:rPr>
          <w:b/>
          <w:bCs/>
        </w:rPr>
        <w:t>+214% in December</w:t>
      </w:r>
      <w:r w:rsidRPr="00B54AAC">
        <w:t>.</w:t>
      </w:r>
    </w:p>
    <w:p w14:paraId="06A38DCD" w14:textId="77777777" w:rsidR="002405C4" w:rsidRPr="00B54AAC" w:rsidRDefault="002405C4" w:rsidP="002405C4">
      <w:pPr>
        <w:numPr>
          <w:ilvl w:val="0"/>
          <w:numId w:val="26"/>
        </w:numPr>
        <w:tabs>
          <w:tab w:val="left" w:pos="7650"/>
        </w:tabs>
      </w:pPr>
      <w:r w:rsidRPr="00B54AAC">
        <w:t>Annual range: ₦1.68M – ₦2.35M</w:t>
      </w:r>
    </w:p>
    <w:p w14:paraId="4B83A027" w14:textId="77777777" w:rsidR="002405C4" w:rsidRPr="00B54AAC" w:rsidRDefault="002405C4" w:rsidP="002405C4">
      <w:pPr>
        <w:numPr>
          <w:ilvl w:val="0"/>
          <w:numId w:val="26"/>
        </w:numPr>
        <w:tabs>
          <w:tab w:val="left" w:pos="7650"/>
        </w:tabs>
      </w:pPr>
      <w:r w:rsidRPr="00B54AAC">
        <w:t xml:space="preserve">Predictive vs. Actual: </w:t>
      </w:r>
      <w:r w:rsidRPr="00B54AAC">
        <w:rPr>
          <w:b/>
          <w:bCs/>
        </w:rPr>
        <w:t>₦2.01M vs. ₦2.00M</w:t>
      </w:r>
      <w:r w:rsidRPr="00B54AAC">
        <w:t xml:space="preserve"> — highly accurate</w:t>
      </w:r>
    </w:p>
    <w:p w14:paraId="13A3D83B" w14:textId="77777777" w:rsidR="002405C4" w:rsidRPr="00B54AAC" w:rsidRDefault="002405C4" w:rsidP="002405C4">
      <w:pPr>
        <w:tabs>
          <w:tab w:val="left" w:pos="7650"/>
        </w:tabs>
      </w:pPr>
      <w:r w:rsidRPr="00B54AAC">
        <w:rPr>
          <w:rFonts w:ascii="Segoe UI Emoji" w:hAnsi="Segoe UI Emoji" w:cs="Segoe UI Emoji"/>
        </w:rPr>
        <w:t>🔑</w:t>
      </w:r>
      <w:r w:rsidRPr="00B54AAC">
        <w:t xml:space="preserve"> Insight: EMEA shows </w:t>
      </w:r>
      <w:r w:rsidRPr="00B54AAC">
        <w:rPr>
          <w:b/>
          <w:bCs/>
        </w:rPr>
        <w:t>structural growth potential</w:t>
      </w:r>
      <w:r w:rsidRPr="00B54AAC">
        <w:t xml:space="preserve">, but extreme anomalies suggest </w:t>
      </w:r>
      <w:r w:rsidRPr="00B54AAC">
        <w:rPr>
          <w:b/>
          <w:bCs/>
        </w:rPr>
        <w:t>market volatility</w:t>
      </w:r>
      <w:r w:rsidRPr="00B54AAC">
        <w:t>. With the right stability strategy, this region could transform into a powerhouse.</w:t>
      </w:r>
    </w:p>
    <w:p w14:paraId="0FAAFDAB" w14:textId="77777777" w:rsidR="002405C4" w:rsidRPr="00B54AAC" w:rsidRDefault="00000000" w:rsidP="002405C4">
      <w:pPr>
        <w:tabs>
          <w:tab w:val="left" w:pos="7650"/>
        </w:tabs>
      </w:pPr>
      <w:r>
        <w:pict w14:anchorId="2A0468E3">
          <v:rect id="_x0000_i1050" style="width:0;height:1.5pt" o:hralign="center" o:hrstd="t" o:hr="t" fillcolor="#a0a0a0" stroked="f"/>
        </w:pict>
      </w:r>
    </w:p>
    <w:p w14:paraId="2DD23F5F" w14:textId="77777777" w:rsidR="002405C4" w:rsidRPr="00B54AAC" w:rsidRDefault="002405C4" w:rsidP="002405C4">
      <w:pPr>
        <w:tabs>
          <w:tab w:val="left" w:pos="7650"/>
        </w:tabs>
        <w:rPr>
          <w:b/>
          <w:bCs/>
        </w:rPr>
      </w:pPr>
      <w:r w:rsidRPr="00B54AAC">
        <w:rPr>
          <w:b/>
          <w:bCs/>
        </w:rPr>
        <w:t>5. Europe — The Weak Link</w:t>
      </w:r>
    </w:p>
    <w:p w14:paraId="75D5E677" w14:textId="77777777" w:rsidR="002405C4" w:rsidRPr="00B54AAC" w:rsidRDefault="002405C4" w:rsidP="002405C4">
      <w:pPr>
        <w:tabs>
          <w:tab w:val="left" w:pos="7650"/>
        </w:tabs>
      </w:pPr>
      <w:r w:rsidRPr="00B54AAC">
        <w:t xml:space="preserve">Europe suffered a </w:t>
      </w:r>
      <w:r w:rsidRPr="00B54AAC">
        <w:rPr>
          <w:b/>
          <w:bCs/>
        </w:rPr>
        <w:t>-27.31% annual decline</w:t>
      </w:r>
      <w:r w:rsidRPr="00B54AAC">
        <w:t xml:space="preserve">, the </w:t>
      </w:r>
      <w:r w:rsidRPr="00B54AAC">
        <w:rPr>
          <w:b/>
          <w:bCs/>
        </w:rPr>
        <w:t>worst regional outcome</w:t>
      </w:r>
      <w:r w:rsidRPr="00B54AAC">
        <w:t xml:space="preserve">. The steepest drop came late in the year (-28% in December), despite earlier peaks like </w:t>
      </w:r>
      <w:r w:rsidRPr="00B54AAC">
        <w:rPr>
          <w:b/>
          <w:bCs/>
        </w:rPr>
        <w:t>₦311K in November</w:t>
      </w:r>
      <w:r w:rsidRPr="00B54AAC">
        <w:t>.</w:t>
      </w:r>
    </w:p>
    <w:p w14:paraId="29F763F5" w14:textId="77777777" w:rsidR="002405C4" w:rsidRPr="00B54AAC" w:rsidRDefault="002405C4" w:rsidP="002405C4">
      <w:pPr>
        <w:numPr>
          <w:ilvl w:val="0"/>
          <w:numId w:val="27"/>
        </w:numPr>
        <w:tabs>
          <w:tab w:val="left" w:pos="7650"/>
        </w:tabs>
      </w:pPr>
      <w:r w:rsidRPr="00B54AAC">
        <w:t>Annual range: ₦5.71M – ₦6.50M</w:t>
      </w:r>
    </w:p>
    <w:p w14:paraId="12C28A3E" w14:textId="77777777" w:rsidR="002405C4" w:rsidRPr="00B54AAC" w:rsidRDefault="002405C4" w:rsidP="002405C4">
      <w:pPr>
        <w:numPr>
          <w:ilvl w:val="0"/>
          <w:numId w:val="27"/>
        </w:numPr>
        <w:tabs>
          <w:tab w:val="left" w:pos="7650"/>
        </w:tabs>
      </w:pPr>
      <w:r w:rsidRPr="00B54AAC">
        <w:t xml:space="preserve">Predictive vs. Actual: </w:t>
      </w:r>
      <w:r w:rsidRPr="00B54AAC">
        <w:rPr>
          <w:b/>
          <w:bCs/>
        </w:rPr>
        <w:t>₦6.14M (aligned, but underperforming market)</w:t>
      </w:r>
    </w:p>
    <w:p w14:paraId="4C3E3700" w14:textId="77777777" w:rsidR="002405C4" w:rsidRPr="00B54AAC" w:rsidRDefault="002405C4" w:rsidP="002405C4">
      <w:pPr>
        <w:tabs>
          <w:tab w:val="left" w:pos="7650"/>
        </w:tabs>
      </w:pPr>
      <w:r w:rsidRPr="00B54AAC">
        <w:rPr>
          <w:rFonts w:ascii="Segoe UI Emoji" w:hAnsi="Segoe UI Emoji" w:cs="Segoe UI Emoji"/>
        </w:rPr>
        <w:t>🔑</w:t>
      </w:r>
      <w:r w:rsidRPr="00B54AAC">
        <w:t xml:space="preserve"> Insight: The model was correct — </w:t>
      </w:r>
      <w:r w:rsidRPr="00B54AAC">
        <w:rPr>
          <w:b/>
          <w:bCs/>
        </w:rPr>
        <w:t>Europe is struggling structurally</w:t>
      </w:r>
      <w:r w:rsidRPr="00B54AAC">
        <w:t xml:space="preserve">. Decline is not a forecasting issue but a </w:t>
      </w:r>
      <w:r w:rsidRPr="00B54AAC">
        <w:rPr>
          <w:b/>
          <w:bCs/>
        </w:rPr>
        <w:t>client retention and demand issue</w:t>
      </w:r>
      <w:r w:rsidRPr="00B54AAC">
        <w:t>.</w:t>
      </w:r>
    </w:p>
    <w:p w14:paraId="09D0E9F9" w14:textId="77777777" w:rsidR="002405C4" w:rsidRPr="00B54AAC" w:rsidRDefault="00000000" w:rsidP="002405C4">
      <w:pPr>
        <w:tabs>
          <w:tab w:val="left" w:pos="7650"/>
        </w:tabs>
      </w:pPr>
      <w:r>
        <w:pict w14:anchorId="06388471">
          <v:rect id="_x0000_i1051" style="width:0;height:1.5pt" o:hralign="center" o:hrstd="t" o:hr="t" fillcolor="#a0a0a0" stroked="f"/>
        </w:pict>
      </w:r>
    </w:p>
    <w:p w14:paraId="2EACA94F" w14:textId="77777777" w:rsidR="002405C4" w:rsidRPr="00B54AAC" w:rsidRDefault="002405C4" w:rsidP="002405C4">
      <w:pPr>
        <w:tabs>
          <w:tab w:val="left" w:pos="7650"/>
        </w:tabs>
        <w:rPr>
          <w:b/>
          <w:bCs/>
        </w:rPr>
      </w:pPr>
      <w:r w:rsidRPr="00B54AAC">
        <w:rPr>
          <w:rFonts w:ascii="Segoe UI Emoji" w:hAnsi="Segoe UI Emoji" w:cs="Segoe UI Emoji"/>
          <w:b/>
          <w:bCs/>
        </w:rPr>
        <w:t>📊</w:t>
      </w:r>
      <w:r w:rsidRPr="00B54AAC">
        <w:rPr>
          <w:b/>
          <w:bCs/>
        </w:rPr>
        <w:t xml:space="preserve"> Cross-Regional Comparisons</w:t>
      </w:r>
    </w:p>
    <w:p w14:paraId="30E809DA" w14:textId="77777777" w:rsidR="002405C4" w:rsidRPr="00B54AAC" w:rsidRDefault="002405C4" w:rsidP="002405C4">
      <w:pPr>
        <w:numPr>
          <w:ilvl w:val="0"/>
          <w:numId w:val="28"/>
        </w:numPr>
        <w:tabs>
          <w:tab w:val="left" w:pos="7650"/>
        </w:tabs>
      </w:pPr>
      <w:r w:rsidRPr="00B54AAC">
        <w:rPr>
          <w:b/>
          <w:bCs/>
        </w:rPr>
        <w:t>Growth Leaders</w:t>
      </w:r>
      <w:r w:rsidRPr="00B54AAC">
        <w:t xml:space="preserve"> → </w:t>
      </w:r>
      <w:r w:rsidRPr="00B54AAC">
        <w:rPr>
          <w:b/>
          <w:bCs/>
        </w:rPr>
        <w:t>EMEA (+33.5%) and APAC (+21.5%)</w:t>
      </w:r>
      <w:r w:rsidRPr="00B54AAC">
        <w:t xml:space="preserve"> show strong expansion and alignment with forecasts.</w:t>
      </w:r>
    </w:p>
    <w:p w14:paraId="50CEB4FB" w14:textId="77777777" w:rsidR="002405C4" w:rsidRPr="00B54AAC" w:rsidRDefault="002405C4" w:rsidP="002405C4">
      <w:pPr>
        <w:numPr>
          <w:ilvl w:val="0"/>
          <w:numId w:val="28"/>
        </w:numPr>
        <w:tabs>
          <w:tab w:val="left" w:pos="7650"/>
        </w:tabs>
      </w:pPr>
      <w:r w:rsidRPr="00B54AAC">
        <w:rPr>
          <w:b/>
          <w:bCs/>
        </w:rPr>
        <w:t>Stable but Declining</w:t>
      </w:r>
      <w:r w:rsidRPr="00B54AAC">
        <w:t xml:space="preserve"> → </w:t>
      </w:r>
      <w:r w:rsidRPr="00B54AAC">
        <w:rPr>
          <w:b/>
          <w:bCs/>
        </w:rPr>
        <w:t>Americas (-12.1%) and Europe (-27.3%)</w:t>
      </w:r>
      <w:r w:rsidRPr="00B54AAC">
        <w:t xml:space="preserve"> represent regions where predictions align but demand weakens.</w:t>
      </w:r>
    </w:p>
    <w:p w14:paraId="2501D149" w14:textId="77777777" w:rsidR="002405C4" w:rsidRPr="00B54AAC" w:rsidRDefault="002405C4" w:rsidP="002405C4">
      <w:pPr>
        <w:numPr>
          <w:ilvl w:val="0"/>
          <w:numId w:val="28"/>
        </w:numPr>
        <w:tabs>
          <w:tab w:val="left" w:pos="7650"/>
        </w:tabs>
      </w:pPr>
      <w:r w:rsidRPr="00B54AAC">
        <w:rPr>
          <w:b/>
          <w:bCs/>
        </w:rPr>
        <w:t>Global Alignment</w:t>
      </w:r>
      <w:r w:rsidRPr="00B54AAC">
        <w:t xml:space="preserve"> → In every region, </w:t>
      </w:r>
      <w:r w:rsidRPr="00B54AAC">
        <w:rPr>
          <w:b/>
          <w:bCs/>
        </w:rPr>
        <w:t>predicted revenue exceeded or matched actuals</w:t>
      </w:r>
      <w:r w:rsidRPr="00B54AAC">
        <w:t xml:space="preserve">, proving that </w:t>
      </w:r>
      <w:r w:rsidRPr="00B54AAC">
        <w:rPr>
          <w:b/>
          <w:bCs/>
        </w:rPr>
        <w:t>analytics are reliable, but strategy must adapt to demand realities</w:t>
      </w:r>
      <w:r w:rsidRPr="00B54AAC">
        <w:t>.</w:t>
      </w:r>
    </w:p>
    <w:p w14:paraId="51C697AA" w14:textId="77777777" w:rsidR="002405C4" w:rsidRPr="00B54AAC" w:rsidRDefault="00000000" w:rsidP="002405C4">
      <w:pPr>
        <w:tabs>
          <w:tab w:val="left" w:pos="7650"/>
        </w:tabs>
      </w:pPr>
      <w:r>
        <w:pict w14:anchorId="413D8A77">
          <v:rect id="_x0000_i1052" style="width:0;height:1.5pt" o:hralign="center" o:hrstd="t" o:hr="t" fillcolor="#a0a0a0" stroked="f"/>
        </w:pict>
      </w:r>
    </w:p>
    <w:p w14:paraId="4AB52CCC" w14:textId="77777777" w:rsidR="002405C4" w:rsidRPr="00B54AAC" w:rsidRDefault="002405C4" w:rsidP="002405C4">
      <w:pPr>
        <w:tabs>
          <w:tab w:val="left" w:pos="7650"/>
        </w:tabs>
        <w:rPr>
          <w:b/>
          <w:bCs/>
        </w:rPr>
      </w:pPr>
      <w:r w:rsidRPr="00B54AAC">
        <w:rPr>
          <w:rFonts w:ascii="Segoe UI Emoji" w:hAnsi="Segoe UI Emoji" w:cs="Segoe UI Emoji"/>
          <w:b/>
          <w:bCs/>
        </w:rPr>
        <w:t>✨</w:t>
      </w:r>
      <w:r w:rsidRPr="00B54AAC">
        <w:rPr>
          <w:b/>
          <w:bCs/>
        </w:rPr>
        <w:t xml:space="preserve"> Executive Takeaway</w:t>
      </w:r>
    </w:p>
    <w:p w14:paraId="2384785C" w14:textId="77777777" w:rsidR="002405C4" w:rsidRPr="00B54AAC" w:rsidRDefault="002405C4" w:rsidP="002405C4">
      <w:pPr>
        <w:tabs>
          <w:tab w:val="left" w:pos="7650"/>
        </w:tabs>
      </w:pPr>
      <w:r w:rsidRPr="00B54AAC">
        <w:t xml:space="preserve">2023 told us a story of </w:t>
      </w:r>
      <w:r w:rsidRPr="00B54AAC">
        <w:rPr>
          <w:b/>
          <w:bCs/>
        </w:rPr>
        <w:t>two halves</w:t>
      </w:r>
      <w:r w:rsidRPr="00B54AAC">
        <w:t>:</w:t>
      </w:r>
    </w:p>
    <w:p w14:paraId="2C0A2AA1" w14:textId="77777777" w:rsidR="002405C4" w:rsidRPr="00B54AAC" w:rsidRDefault="002405C4" w:rsidP="002405C4">
      <w:pPr>
        <w:numPr>
          <w:ilvl w:val="0"/>
          <w:numId w:val="29"/>
        </w:numPr>
        <w:tabs>
          <w:tab w:val="left" w:pos="7650"/>
        </w:tabs>
      </w:pPr>
      <w:r w:rsidRPr="00B54AAC">
        <w:rPr>
          <w:b/>
          <w:bCs/>
        </w:rPr>
        <w:t>East (APAC &amp; EMEA)</w:t>
      </w:r>
      <w:r w:rsidRPr="00B54AAC">
        <w:t xml:space="preserve"> → Growth, predictability, and scalability.</w:t>
      </w:r>
    </w:p>
    <w:p w14:paraId="5B3B5334" w14:textId="1D1227B9" w:rsidR="00545355" w:rsidRDefault="002405C4" w:rsidP="002405C4">
      <w:pPr>
        <w:tabs>
          <w:tab w:val="left" w:pos="7650"/>
        </w:tabs>
      </w:pPr>
      <w:r w:rsidRPr="00B54AAC">
        <w:rPr>
          <w:b/>
          <w:bCs/>
        </w:rPr>
        <w:lastRenderedPageBreak/>
        <w:t>West (Americas &amp; Europe)</w:t>
      </w:r>
      <w:r w:rsidRPr="00B54AAC">
        <w:t xml:space="preserve"> → Decline, de</w:t>
      </w:r>
    </w:p>
    <w:p w14:paraId="078987E7" w14:textId="77777777" w:rsidR="00E675EA" w:rsidRDefault="00E675EA" w:rsidP="002405C4">
      <w:pPr>
        <w:tabs>
          <w:tab w:val="left" w:pos="7650"/>
        </w:tabs>
        <w:rPr>
          <w:rFonts w:ascii="Segoe UI Emoji" w:hAnsi="Segoe UI Emoji" w:cs="Segoe UI Emoji"/>
          <w:b/>
          <w:bCs/>
        </w:rPr>
      </w:pPr>
    </w:p>
    <w:p w14:paraId="110DAE88" w14:textId="77777777" w:rsidR="00E675EA" w:rsidRPr="00981284" w:rsidRDefault="00E675EA" w:rsidP="00E675EA">
      <w:pPr>
        <w:tabs>
          <w:tab w:val="left" w:pos="7650"/>
        </w:tabs>
        <w:rPr>
          <w:b/>
          <w:bCs/>
          <w:sz w:val="28"/>
          <w:szCs w:val="28"/>
        </w:rPr>
      </w:pPr>
      <w:r w:rsidRPr="00981284">
        <w:rPr>
          <w:b/>
          <w:bCs/>
          <w:sz w:val="28"/>
          <w:szCs w:val="28"/>
        </w:rPr>
        <w:t>Departmental Comparative Revenue Analysis – 2023</w:t>
      </w:r>
    </w:p>
    <w:p w14:paraId="54ED4C4E" w14:textId="77777777" w:rsidR="00E675EA" w:rsidRPr="00981284" w:rsidRDefault="00E675EA" w:rsidP="00E675EA">
      <w:pPr>
        <w:tabs>
          <w:tab w:val="left" w:pos="7650"/>
        </w:tabs>
      </w:pPr>
      <w:r w:rsidRPr="00981284">
        <w:t xml:space="preserve">The year unfolded as a tale of </w:t>
      </w:r>
      <w:r w:rsidRPr="00981284">
        <w:rPr>
          <w:b/>
          <w:bCs/>
        </w:rPr>
        <w:t>contrasting departmental performances</w:t>
      </w:r>
      <w:r w:rsidRPr="00981284">
        <w:t>, with some units battling steep declines while others found pockets of resilience. Predictive models remained consistently reliable, but actual execution and market dynamics created divergence across functions.</w:t>
      </w:r>
    </w:p>
    <w:p w14:paraId="2E952F51" w14:textId="77777777" w:rsidR="00E675EA" w:rsidRPr="00981284" w:rsidRDefault="00000000" w:rsidP="00E675EA">
      <w:pPr>
        <w:tabs>
          <w:tab w:val="left" w:pos="7650"/>
        </w:tabs>
      </w:pPr>
      <w:r>
        <w:pict w14:anchorId="693EDEA6">
          <v:rect id="_x0000_i1053" style="width:0;height:1.5pt" o:hralign="center" o:hrstd="t" o:hr="t" fillcolor="#a0a0a0" stroked="f"/>
        </w:pict>
      </w:r>
    </w:p>
    <w:p w14:paraId="2C450E3E" w14:textId="77777777" w:rsidR="00E675EA" w:rsidRPr="00981284" w:rsidRDefault="00E675EA" w:rsidP="00E675EA">
      <w:pPr>
        <w:tabs>
          <w:tab w:val="left" w:pos="7650"/>
        </w:tabs>
        <w:rPr>
          <w:b/>
          <w:bCs/>
        </w:rPr>
      </w:pPr>
      <w:r w:rsidRPr="00981284">
        <w:rPr>
          <w:b/>
          <w:bCs/>
        </w:rPr>
        <w:t>1. Audit Department — Declining Stability</w:t>
      </w:r>
    </w:p>
    <w:p w14:paraId="704035DD" w14:textId="77777777" w:rsidR="00E675EA" w:rsidRPr="00981284" w:rsidRDefault="00E675EA" w:rsidP="00E675EA">
      <w:pPr>
        <w:numPr>
          <w:ilvl w:val="0"/>
          <w:numId w:val="35"/>
        </w:numPr>
        <w:tabs>
          <w:tab w:val="left" w:pos="7650"/>
        </w:tabs>
      </w:pPr>
      <w:r w:rsidRPr="00981284">
        <w:rPr>
          <w:b/>
          <w:bCs/>
        </w:rPr>
        <w:t>Trend:</w:t>
      </w:r>
      <w:r w:rsidRPr="00981284">
        <w:t xml:space="preserve"> Revenue fell </w:t>
      </w:r>
      <w:r w:rsidRPr="00981284">
        <w:rPr>
          <w:b/>
          <w:bCs/>
        </w:rPr>
        <w:t>-9.23% YoY</w:t>
      </w:r>
      <w:r w:rsidRPr="00981284">
        <w:t>, weighed down by volatility.</w:t>
      </w:r>
    </w:p>
    <w:p w14:paraId="6A5F5B37" w14:textId="77777777" w:rsidR="00E675EA" w:rsidRPr="00981284" w:rsidRDefault="00E675EA" w:rsidP="00E675EA">
      <w:pPr>
        <w:numPr>
          <w:ilvl w:val="0"/>
          <w:numId w:val="35"/>
        </w:numPr>
        <w:tabs>
          <w:tab w:val="left" w:pos="7650"/>
        </w:tabs>
      </w:pPr>
      <w:r w:rsidRPr="00981284">
        <w:rPr>
          <w:b/>
          <w:bCs/>
        </w:rPr>
        <w:t>Highs &amp; Lows:</w:t>
      </w:r>
      <w:r w:rsidRPr="00981284">
        <w:t xml:space="preserve"> Dept. 11 peaked at ₦940,500 (833% higher than lowest performer, Dept. 1).</w:t>
      </w:r>
    </w:p>
    <w:p w14:paraId="673B379A" w14:textId="77777777" w:rsidR="00E675EA" w:rsidRPr="00981284" w:rsidRDefault="00E675EA" w:rsidP="00E675EA">
      <w:pPr>
        <w:numPr>
          <w:ilvl w:val="0"/>
          <w:numId w:val="35"/>
        </w:numPr>
        <w:tabs>
          <w:tab w:val="left" w:pos="7650"/>
        </w:tabs>
      </w:pPr>
      <w:r w:rsidRPr="00981284">
        <w:rPr>
          <w:b/>
          <w:bCs/>
        </w:rPr>
        <w:t>Anomalies:</w:t>
      </w:r>
      <w:r w:rsidRPr="00981284">
        <w:t xml:space="preserve"> A major surge in October (+60.43%) but also multiple revenue shocks, including December’s anomaly (₦154,800 spike).</w:t>
      </w:r>
    </w:p>
    <w:p w14:paraId="65D0FAFD" w14:textId="77777777" w:rsidR="00E675EA" w:rsidRPr="00981284" w:rsidRDefault="00E675EA" w:rsidP="00E675EA">
      <w:pPr>
        <w:numPr>
          <w:ilvl w:val="0"/>
          <w:numId w:val="35"/>
        </w:numPr>
        <w:tabs>
          <w:tab w:val="left" w:pos="7650"/>
        </w:tabs>
      </w:pPr>
      <w:r w:rsidRPr="00981284">
        <w:rPr>
          <w:b/>
          <w:bCs/>
        </w:rPr>
        <w:t>Forecast Alignment:</w:t>
      </w:r>
      <w:r w:rsidRPr="00981284">
        <w:t xml:space="preserve"> Predicted revenue (₦3.28M) slightly outpaced actuals (₦3.27M).</w:t>
      </w:r>
    </w:p>
    <w:p w14:paraId="1D39B945" w14:textId="77777777" w:rsidR="00E675EA" w:rsidRPr="00981284" w:rsidRDefault="00E675EA" w:rsidP="00E675EA">
      <w:pPr>
        <w:tabs>
          <w:tab w:val="left" w:pos="7650"/>
        </w:tabs>
      </w:pPr>
      <w:r w:rsidRPr="00981284">
        <w:rPr>
          <w:b/>
          <w:bCs/>
        </w:rPr>
        <w:t>Takeaway:</w:t>
      </w:r>
      <w:r w:rsidRPr="00981284">
        <w:t xml:space="preserve"> Audit struggled to maintain momentum, with frequent shocks undermining stability despite accurate forecasts.</w:t>
      </w:r>
    </w:p>
    <w:p w14:paraId="4A853B1F" w14:textId="77777777" w:rsidR="00E675EA" w:rsidRPr="00981284" w:rsidRDefault="00000000" w:rsidP="00E675EA">
      <w:pPr>
        <w:tabs>
          <w:tab w:val="left" w:pos="7650"/>
        </w:tabs>
      </w:pPr>
      <w:r>
        <w:pict w14:anchorId="2BF07B58">
          <v:rect id="_x0000_i1054" style="width:0;height:1.5pt" o:hralign="center" o:hrstd="t" o:hr="t" fillcolor="#a0a0a0" stroked="f"/>
        </w:pict>
      </w:r>
    </w:p>
    <w:p w14:paraId="7439F0CC" w14:textId="77777777" w:rsidR="00E675EA" w:rsidRPr="00981284" w:rsidRDefault="00E675EA" w:rsidP="00E675EA">
      <w:pPr>
        <w:tabs>
          <w:tab w:val="left" w:pos="7650"/>
        </w:tabs>
        <w:rPr>
          <w:b/>
          <w:bCs/>
        </w:rPr>
      </w:pPr>
      <w:r w:rsidRPr="00981284">
        <w:rPr>
          <w:b/>
          <w:bCs/>
        </w:rPr>
        <w:t>2. Management Department — The Growth Driver</w:t>
      </w:r>
    </w:p>
    <w:p w14:paraId="6DD7A875" w14:textId="77777777" w:rsidR="00E675EA" w:rsidRPr="00981284" w:rsidRDefault="00E675EA" w:rsidP="00E675EA">
      <w:pPr>
        <w:numPr>
          <w:ilvl w:val="0"/>
          <w:numId w:val="36"/>
        </w:numPr>
        <w:tabs>
          <w:tab w:val="left" w:pos="7650"/>
        </w:tabs>
      </w:pPr>
      <w:r w:rsidRPr="00981284">
        <w:rPr>
          <w:b/>
          <w:bCs/>
        </w:rPr>
        <w:t>Trend:</w:t>
      </w:r>
      <w:r w:rsidRPr="00981284">
        <w:t xml:space="preserve"> The </w:t>
      </w:r>
      <w:r w:rsidRPr="00981284">
        <w:rPr>
          <w:b/>
          <w:bCs/>
        </w:rPr>
        <w:t>only department with strong upward growth (+16%)</w:t>
      </w:r>
      <w:r w:rsidRPr="00981284">
        <w:t>.</w:t>
      </w:r>
    </w:p>
    <w:p w14:paraId="05669581" w14:textId="77777777" w:rsidR="00E675EA" w:rsidRPr="00981284" w:rsidRDefault="00E675EA" w:rsidP="00E675EA">
      <w:pPr>
        <w:numPr>
          <w:ilvl w:val="0"/>
          <w:numId w:val="36"/>
        </w:numPr>
        <w:tabs>
          <w:tab w:val="left" w:pos="7650"/>
        </w:tabs>
      </w:pPr>
      <w:r w:rsidRPr="00981284">
        <w:rPr>
          <w:b/>
          <w:bCs/>
        </w:rPr>
        <w:t>Highs &amp; Lows:</w:t>
      </w:r>
      <w:r w:rsidRPr="00981284">
        <w:t xml:space="preserve"> Dept. 6 led at ₦911,100 (912% above lowest at ₦90,000).</w:t>
      </w:r>
    </w:p>
    <w:p w14:paraId="4B823939" w14:textId="77777777" w:rsidR="00E675EA" w:rsidRPr="00981284" w:rsidRDefault="00E675EA" w:rsidP="00E675EA">
      <w:pPr>
        <w:numPr>
          <w:ilvl w:val="0"/>
          <w:numId w:val="36"/>
        </w:numPr>
        <w:tabs>
          <w:tab w:val="left" w:pos="7650"/>
        </w:tabs>
      </w:pPr>
      <w:r w:rsidRPr="00981284">
        <w:rPr>
          <w:b/>
          <w:bCs/>
        </w:rPr>
        <w:t>Anomalies:</w:t>
      </w:r>
      <w:r w:rsidRPr="00981284">
        <w:t xml:space="preserve"> Sharp rise in Jan (+22.4% in just 7 days), but Q4 exposed weakness with a steep drop (-26.62%).</w:t>
      </w:r>
    </w:p>
    <w:p w14:paraId="5DDA24DC" w14:textId="77777777" w:rsidR="00E675EA" w:rsidRPr="00981284" w:rsidRDefault="00E675EA" w:rsidP="00E675EA">
      <w:pPr>
        <w:numPr>
          <w:ilvl w:val="0"/>
          <w:numId w:val="36"/>
        </w:numPr>
        <w:tabs>
          <w:tab w:val="left" w:pos="7650"/>
        </w:tabs>
      </w:pPr>
      <w:r w:rsidRPr="00981284">
        <w:rPr>
          <w:b/>
          <w:bCs/>
        </w:rPr>
        <w:t>Forecast Alignment:</w:t>
      </w:r>
      <w:r w:rsidRPr="00981284">
        <w:t xml:space="preserve"> Predicted revenue (₦3.27M) again higher than actual (₦3.26M).</w:t>
      </w:r>
    </w:p>
    <w:p w14:paraId="14C4EE02" w14:textId="77777777" w:rsidR="00E675EA" w:rsidRPr="00981284" w:rsidRDefault="00E675EA" w:rsidP="00E675EA">
      <w:pPr>
        <w:tabs>
          <w:tab w:val="left" w:pos="7650"/>
        </w:tabs>
      </w:pPr>
      <w:r w:rsidRPr="00981284">
        <w:rPr>
          <w:b/>
          <w:bCs/>
        </w:rPr>
        <w:t>Takeaway:</w:t>
      </w:r>
      <w:r w:rsidRPr="00981284">
        <w:t xml:space="preserve"> Management became the </w:t>
      </w:r>
      <w:r w:rsidRPr="00981284">
        <w:rPr>
          <w:b/>
          <w:bCs/>
        </w:rPr>
        <w:t>engine of resilience</w:t>
      </w:r>
      <w:r w:rsidRPr="00981284">
        <w:t>, though late-year declines warn of fatigue.</w:t>
      </w:r>
    </w:p>
    <w:p w14:paraId="61EB6D49" w14:textId="77777777" w:rsidR="00E675EA" w:rsidRPr="00981284" w:rsidRDefault="00000000" w:rsidP="00E675EA">
      <w:pPr>
        <w:tabs>
          <w:tab w:val="left" w:pos="7650"/>
        </w:tabs>
      </w:pPr>
      <w:r>
        <w:pict w14:anchorId="43B8AE2B">
          <v:rect id="_x0000_i1055" style="width:0;height:1.5pt" o:hralign="center" o:hrstd="t" o:hr="t" fillcolor="#a0a0a0" stroked="f"/>
        </w:pict>
      </w:r>
    </w:p>
    <w:p w14:paraId="1FCC69F4" w14:textId="77777777" w:rsidR="00E675EA" w:rsidRPr="00981284" w:rsidRDefault="00E675EA" w:rsidP="00E675EA">
      <w:pPr>
        <w:tabs>
          <w:tab w:val="left" w:pos="7650"/>
        </w:tabs>
        <w:rPr>
          <w:b/>
          <w:bCs/>
        </w:rPr>
      </w:pPr>
      <w:r w:rsidRPr="00981284">
        <w:rPr>
          <w:b/>
          <w:bCs/>
        </w:rPr>
        <w:t>3. Advisory Department — The Weakest Performer</w:t>
      </w:r>
    </w:p>
    <w:p w14:paraId="000986B8" w14:textId="77777777" w:rsidR="00E675EA" w:rsidRPr="00981284" w:rsidRDefault="00E675EA" w:rsidP="00E675EA">
      <w:pPr>
        <w:numPr>
          <w:ilvl w:val="0"/>
          <w:numId w:val="37"/>
        </w:numPr>
        <w:tabs>
          <w:tab w:val="left" w:pos="7650"/>
        </w:tabs>
      </w:pPr>
      <w:r w:rsidRPr="00981284">
        <w:rPr>
          <w:b/>
          <w:bCs/>
        </w:rPr>
        <w:lastRenderedPageBreak/>
        <w:t>Trend:</w:t>
      </w:r>
      <w:r w:rsidRPr="00981284">
        <w:t xml:space="preserve"> The </w:t>
      </w:r>
      <w:r w:rsidRPr="00981284">
        <w:rPr>
          <w:b/>
          <w:bCs/>
        </w:rPr>
        <w:t>steepest decline (-26.53%)</w:t>
      </w:r>
      <w:r w:rsidRPr="00981284">
        <w:t>, making Advisory the weakest link.</w:t>
      </w:r>
    </w:p>
    <w:p w14:paraId="0881E27E" w14:textId="77777777" w:rsidR="00E675EA" w:rsidRPr="00981284" w:rsidRDefault="00E675EA" w:rsidP="00E675EA">
      <w:pPr>
        <w:numPr>
          <w:ilvl w:val="0"/>
          <w:numId w:val="37"/>
        </w:numPr>
        <w:tabs>
          <w:tab w:val="left" w:pos="7650"/>
        </w:tabs>
      </w:pPr>
      <w:r w:rsidRPr="00981284">
        <w:rPr>
          <w:b/>
          <w:bCs/>
        </w:rPr>
        <w:t>Highs &amp; Lows:</w:t>
      </w:r>
      <w:r w:rsidRPr="00981284">
        <w:t xml:space="preserve"> Dept. 46 topped at ₦908,700; Dept. 1 lagged at ₦117,600.</w:t>
      </w:r>
    </w:p>
    <w:p w14:paraId="79DA9E3D" w14:textId="77777777" w:rsidR="00E675EA" w:rsidRPr="00981284" w:rsidRDefault="00E675EA" w:rsidP="00E675EA">
      <w:pPr>
        <w:numPr>
          <w:ilvl w:val="0"/>
          <w:numId w:val="37"/>
        </w:numPr>
        <w:tabs>
          <w:tab w:val="left" w:pos="7650"/>
        </w:tabs>
      </w:pPr>
      <w:r w:rsidRPr="00981284">
        <w:rPr>
          <w:b/>
          <w:bCs/>
        </w:rPr>
        <w:t>Anomalies:</w:t>
      </w:r>
      <w:r w:rsidRPr="00981284">
        <w:t xml:space="preserve"> Extreme volatility, including a major low anomaly in Dec (-54.59%).</w:t>
      </w:r>
    </w:p>
    <w:p w14:paraId="52F586EF" w14:textId="77777777" w:rsidR="00E675EA" w:rsidRPr="00981284" w:rsidRDefault="00E675EA" w:rsidP="00E675EA">
      <w:pPr>
        <w:numPr>
          <w:ilvl w:val="0"/>
          <w:numId w:val="37"/>
        </w:numPr>
        <w:tabs>
          <w:tab w:val="left" w:pos="7650"/>
        </w:tabs>
      </w:pPr>
      <w:r w:rsidRPr="00981284">
        <w:rPr>
          <w:b/>
          <w:bCs/>
        </w:rPr>
        <w:t>Forecast Alignment:</w:t>
      </w:r>
      <w:r w:rsidRPr="00981284">
        <w:t xml:space="preserve"> Interestingly, </w:t>
      </w:r>
      <w:r w:rsidRPr="00981284">
        <w:rPr>
          <w:b/>
          <w:bCs/>
        </w:rPr>
        <w:t>actuals (₦3.25M) slightly outperformed predictions (₦3.24M)</w:t>
      </w:r>
      <w:r w:rsidRPr="00981284">
        <w:t>, despite overall decline.</w:t>
      </w:r>
    </w:p>
    <w:p w14:paraId="30466182" w14:textId="77777777" w:rsidR="00E675EA" w:rsidRPr="00981284" w:rsidRDefault="00E675EA" w:rsidP="00E675EA">
      <w:pPr>
        <w:tabs>
          <w:tab w:val="left" w:pos="7650"/>
        </w:tabs>
      </w:pPr>
      <w:r w:rsidRPr="00981284">
        <w:rPr>
          <w:b/>
          <w:bCs/>
        </w:rPr>
        <w:t>Takeaway:</w:t>
      </w:r>
      <w:r w:rsidRPr="00981284">
        <w:t xml:space="preserve"> Advisory is structurally challenged, but forecasting shows the model slightly underestimated performance.</w:t>
      </w:r>
    </w:p>
    <w:p w14:paraId="1717742C" w14:textId="77777777" w:rsidR="00E675EA" w:rsidRPr="00981284" w:rsidRDefault="00000000" w:rsidP="00E675EA">
      <w:pPr>
        <w:tabs>
          <w:tab w:val="left" w:pos="7650"/>
        </w:tabs>
      </w:pPr>
      <w:r>
        <w:pict w14:anchorId="1EFE813D">
          <v:rect id="_x0000_i1056" style="width:0;height:1.5pt" o:hralign="center" o:hrstd="t" o:hr="t" fillcolor="#a0a0a0" stroked="f"/>
        </w:pict>
      </w:r>
    </w:p>
    <w:p w14:paraId="79D07B72" w14:textId="77777777" w:rsidR="00E675EA" w:rsidRPr="00981284" w:rsidRDefault="00E675EA" w:rsidP="00E675EA">
      <w:pPr>
        <w:tabs>
          <w:tab w:val="left" w:pos="7650"/>
        </w:tabs>
        <w:rPr>
          <w:b/>
          <w:bCs/>
        </w:rPr>
      </w:pPr>
      <w:r w:rsidRPr="00981284">
        <w:rPr>
          <w:b/>
          <w:bCs/>
        </w:rPr>
        <w:t>4. Tax Department — Modest but Positive Growth</w:t>
      </w:r>
    </w:p>
    <w:p w14:paraId="4E1CBED9" w14:textId="77777777" w:rsidR="00E675EA" w:rsidRPr="00981284" w:rsidRDefault="00E675EA" w:rsidP="00E675EA">
      <w:pPr>
        <w:numPr>
          <w:ilvl w:val="0"/>
          <w:numId w:val="38"/>
        </w:numPr>
        <w:tabs>
          <w:tab w:val="left" w:pos="7650"/>
        </w:tabs>
      </w:pPr>
      <w:r w:rsidRPr="00981284">
        <w:rPr>
          <w:b/>
          <w:bCs/>
        </w:rPr>
        <w:t>Trend:</w:t>
      </w:r>
      <w:r w:rsidRPr="00981284">
        <w:t xml:space="preserve"> Revenue rose </w:t>
      </w:r>
      <w:r w:rsidRPr="00981284">
        <w:rPr>
          <w:b/>
          <w:bCs/>
        </w:rPr>
        <w:t>+5.28%</w:t>
      </w:r>
      <w:r w:rsidRPr="00981284">
        <w:t>, showing stability.</w:t>
      </w:r>
    </w:p>
    <w:p w14:paraId="3FD25D2E" w14:textId="77777777" w:rsidR="00E675EA" w:rsidRPr="00981284" w:rsidRDefault="00E675EA" w:rsidP="00E675EA">
      <w:pPr>
        <w:numPr>
          <w:ilvl w:val="0"/>
          <w:numId w:val="38"/>
        </w:numPr>
        <w:tabs>
          <w:tab w:val="left" w:pos="7650"/>
        </w:tabs>
      </w:pPr>
      <w:r w:rsidRPr="00981284">
        <w:rPr>
          <w:b/>
          <w:bCs/>
        </w:rPr>
        <w:t>Highs &amp; Lows:</w:t>
      </w:r>
      <w:r w:rsidRPr="00981284">
        <w:t xml:space="preserve"> Dept. 30 reached ₦939,300; Dept. 1 just ₦96,600.</w:t>
      </w:r>
    </w:p>
    <w:p w14:paraId="044D7918" w14:textId="77777777" w:rsidR="00E675EA" w:rsidRPr="00981284" w:rsidRDefault="00E675EA" w:rsidP="00E675EA">
      <w:pPr>
        <w:numPr>
          <w:ilvl w:val="0"/>
          <w:numId w:val="38"/>
        </w:numPr>
        <w:tabs>
          <w:tab w:val="left" w:pos="7650"/>
        </w:tabs>
      </w:pPr>
      <w:r w:rsidRPr="00981284">
        <w:rPr>
          <w:b/>
          <w:bCs/>
        </w:rPr>
        <w:t>Anomalies:</w:t>
      </w:r>
      <w:r w:rsidRPr="00981284">
        <w:t xml:space="preserve"> Notable incline mid-year (+108.46% July–Sept), and spikes like ₦169,200 in Feb.</w:t>
      </w:r>
    </w:p>
    <w:p w14:paraId="2B2B36DB" w14:textId="77777777" w:rsidR="00E675EA" w:rsidRPr="00981284" w:rsidRDefault="00E675EA" w:rsidP="00E675EA">
      <w:pPr>
        <w:numPr>
          <w:ilvl w:val="0"/>
          <w:numId w:val="38"/>
        </w:numPr>
        <w:tabs>
          <w:tab w:val="left" w:pos="7650"/>
        </w:tabs>
      </w:pPr>
      <w:r w:rsidRPr="00981284">
        <w:rPr>
          <w:b/>
          <w:bCs/>
        </w:rPr>
        <w:t>Forecast Alignment:</w:t>
      </w:r>
      <w:r w:rsidRPr="00981284">
        <w:t xml:space="preserve"> Predicted (₦3.25M) was again lower than actual (₦3.25M).</w:t>
      </w:r>
    </w:p>
    <w:p w14:paraId="33E43EAF" w14:textId="77777777" w:rsidR="00E675EA" w:rsidRPr="00981284" w:rsidRDefault="00E675EA" w:rsidP="00E675EA">
      <w:pPr>
        <w:tabs>
          <w:tab w:val="left" w:pos="7650"/>
        </w:tabs>
      </w:pPr>
      <w:r w:rsidRPr="00981284">
        <w:rPr>
          <w:b/>
          <w:bCs/>
        </w:rPr>
        <w:t>Takeaway:</w:t>
      </w:r>
      <w:r w:rsidRPr="00981284">
        <w:t xml:space="preserve"> Tax provided </w:t>
      </w:r>
      <w:r w:rsidRPr="00981284">
        <w:rPr>
          <w:b/>
          <w:bCs/>
        </w:rPr>
        <w:t>steady contributions</w:t>
      </w:r>
      <w:r w:rsidRPr="00981284">
        <w:t>, making it a reliable but unspectacular performer.</w:t>
      </w:r>
    </w:p>
    <w:p w14:paraId="56459238" w14:textId="77777777" w:rsidR="00E675EA" w:rsidRPr="00981284" w:rsidRDefault="00000000" w:rsidP="00E675EA">
      <w:pPr>
        <w:tabs>
          <w:tab w:val="left" w:pos="7650"/>
        </w:tabs>
      </w:pPr>
      <w:r>
        <w:pict w14:anchorId="24B0BDEE">
          <v:rect id="_x0000_i1057" style="width:0;height:1.5pt" o:hralign="center" o:hrstd="t" o:hr="t" fillcolor="#a0a0a0" stroked="f"/>
        </w:pict>
      </w:r>
    </w:p>
    <w:p w14:paraId="46075598" w14:textId="77777777" w:rsidR="00E675EA" w:rsidRPr="00981284" w:rsidRDefault="00E675EA" w:rsidP="00E675EA">
      <w:pPr>
        <w:tabs>
          <w:tab w:val="left" w:pos="7650"/>
        </w:tabs>
        <w:rPr>
          <w:b/>
          <w:bCs/>
        </w:rPr>
      </w:pPr>
      <w:r w:rsidRPr="00981284">
        <w:rPr>
          <w:b/>
          <w:bCs/>
        </w:rPr>
        <w:t>5. Legal Department — A Year of Decline</w:t>
      </w:r>
    </w:p>
    <w:p w14:paraId="226B8D99" w14:textId="77777777" w:rsidR="00E675EA" w:rsidRPr="00981284" w:rsidRDefault="00E675EA" w:rsidP="00E675EA">
      <w:pPr>
        <w:numPr>
          <w:ilvl w:val="0"/>
          <w:numId w:val="39"/>
        </w:numPr>
        <w:tabs>
          <w:tab w:val="left" w:pos="7650"/>
        </w:tabs>
      </w:pPr>
      <w:r w:rsidRPr="00981284">
        <w:rPr>
          <w:b/>
          <w:bCs/>
        </w:rPr>
        <w:t>Trend:</w:t>
      </w:r>
      <w:r w:rsidRPr="00981284">
        <w:t xml:space="preserve"> Revenue dropped </w:t>
      </w:r>
      <w:r w:rsidRPr="00981284">
        <w:rPr>
          <w:b/>
          <w:bCs/>
        </w:rPr>
        <w:t>-11.53%</w:t>
      </w:r>
      <w:r w:rsidRPr="00981284">
        <w:t>, with prolonged weakness.</w:t>
      </w:r>
    </w:p>
    <w:p w14:paraId="1323F735" w14:textId="77777777" w:rsidR="00E675EA" w:rsidRPr="00981284" w:rsidRDefault="00E675EA" w:rsidP="00E675EA">
      <w:pPr>
        <w:numPr>
          <w:ilvl w:val="0"/>
          <w:numId w:val="39"/>
        </w:numPr>
        <w:tabs>
          <w:tab w:val="left" w:pos="7650"/>
        </w:tabs>
      </w:pPr>
      <w:r w:rsidRPr="00981284">
        <w:rPr>
          <w:b/>
          <w:bCs/>
        </w:rPr>
        <w:t>Highs &amp; Lows:</w:t>
      </w:r>
      <w:r w:rsidRPr="00981284">
        <w:t xml:space="preserve"> Dept. 38 led with ₦861,600, while Dept. 1 lagged at ₦119,700.</w:t>
      </w:r>
    </w:p>
    <w:p w14:paraId="65CF70D0" w14:textId="77777777" w:rsidR="00E675EA" w:rsidRPr="00981284" w:rsidRDefault="00E675EA" w:rsidP="00E675EA">
      <w:pPr>
        <w:numPr>
          <w:ilvl w:val="0"/>
          <w:numId w:val="39"/>
        </w:numPr>
        <w:tabs>
          <w:tab w:val="left" w:pos="7650"/>
        </w:tabs>
      </w:pPr>
      <w:r w:rsidRPr="00981284">
        <w:rPr>
          <w:b/>
          <w:bCs/>
        </w:rPr>
        <w:t>Anomalies:</w:t>
      </w:r>
      <w:r w:rsidRPr="00981284">
        <w:t xml:space="preserve"> Wild swings — e.g., December spike of </w:t>
      </w:r>
      <w:r w:rsidRPr="00981284">
        <w:rPr>
          <w:b/>
          <w:bCs/>
        </w:rPr>
        <w:t>+242.2%</w:t>
      </w:r>
      <w:r w:rsidRPr="00981284">
        <w:t xml:space="preserve"> followed by a collapse.</w:t>
      </w:r>
    </w:p>
    <w:p w14:paraId="6227BD1E" w14:textId="77777777" w:rsidR="00E675EA" w:rsidRPr="00981284" w:rsidRDefault="00E675EA" w:rsidP="00E675EA">
      <w:pPr>
        <w:numPr>
          <w:ilvl w:val="0"/>
          <w:numId w:val="39"/>
        </w:numPr>
        <w:tabs>
          <w:tab w:val="left" w:pos="7650"/>
        </w:tabs>
      </w:pPr>
      <w:r w:rsidRPr="00981284">
        <w:rPr>
          <w:b/>
          <w:bCs/>
        </w:rPr>
        <w:t>Forecast Alignment:</w:t>
      </w:r>
      <w:r w:rsidRPr="00981284">
        <w:t xml:space="preserve"> Predicted (₦3.25M) slightly exceeded actuals (₦3.24M).</w:t>
      </w:r>
    </w:p>
    <w:p w14:paraId="298F14C5" w14:textId="77777777" w:rsidR="00E675EA" w:rsidRPr="00981284" w:rsidRDefault="00E675EA" w:rsidP="00E675EA">
      <w:pPr>
        <w:tabs>
          <w:tab w:val="left" w:pos="7650"/>
        </w:tabs>
      </w:pPr>
      <w:r w:rsidRPr="00981284">
        <w:rPr>
          <w:b/>
          <w:bCs/>
        </w:rPr>
        <w:t>Takeaway:</w:t>
      </w:r>
      <w:r w:rsidRPr="00981284">
        <w:t xml:space="preserve"> Legal was unpredictable, with sharp gains undone by steep declines, signaling structural volatility.</w:t>
      </w:r>
    </w:p>
    <w:p w14:paraId="711CA07B" w14:textId="77777777" w:rsidR="00E675EA" w:rsidRPr="00981284" w:rsidRDefault="00000000" w:rsidP="00E675EA">
      <w:pPr>
        <w:tabs>
          <w:tab w:val="left" w:pos="7650"/>
        </w:tabs>
      </w:pPr>
      <w:r>
        <w:pict w14:anchorId="2B7312DA">
          <v:rect id="_x0000_i1058" style="width:0;height:1.5pt" o:hralign="center" o:hrstd="t" o:hr="t" fillcolor="#a0a0a0" stroked="f"/>
        </w:pict>
      </w:r>
    </w:p>
    <w:p w14:paraId="7245837E" w14:textId="77777777" w:rsidR="00E675EA" w:rsidRPr="00981284" w:rsidRDefault="00E675EA" w:rsidP="00E675EA">
      <w:pPr>
        <w:tabs>
          <w:tab w:val="left" w:pos="7650"/>
        </w:tabs>
        <w:rPr>
          <w:b/>
          <w:bCs/>
        </w:rPr>
      </w:pPr>
      <w:r w:rsidRPr="00981284">
        <w:rPr>
          <w:b/>
          <w:bCs/>
        </w:rPr>
        <w:t>Cross-Departmental Insights</w:t>
      </w:r>
    </w:p>
    <w:p w14:paraId="6FD27FDE" w14:textId="77777777" w:rsidR="00E675EA" w:rsidRPr="00981284" w:rsidRDefault="00E675EA" w:rsidP="00E675EA">
      <w:pPr>
        <w:numPr>
          <w:ilvl w:val="0"/>
          <w:numId w:val="40"/>
        </w:numPr>
        <w:tabs>
          <w:tab w:val="left" w:pos="7650"/>
        </w:tabs>
      </w:pPr>
      <w:r w:rsidRPr="00981284">
        <w:rPr>
          <w:b/>
          <w:bCs/>
        </w:rPr>
        <w:t>Growth Leaders:</w:t>
      </w:r>
    </w:p>
    <w:p w14:paraId="798054AA" w14:textId="77777777" w:rsidR="00E675EA" w:rsidRPr="00981284" w:rsidRDefault="00E675EA" w:rsidP="00E675EA">
      <w:pPr>
        <w:numPr>
          <w:ilvl w:val="1"/>
          <w:numId w:val="40"/>
        </w:numPr>
        <w:tabs>
          <w:tab w:val="left" w:pos="7650"/>
        </w:tabs>
      </w:pPr>
      <w:r w:rsidRPr="00981284">
        <w:rPr>
          <w:b/>
          <w:bCs/>
        </w:rPr>
        <w:lastRenderedPageBreak/>
        <w:t>Management (+16%)</w:t>
      </w:r>
      <w:r w:rsidRPr="00981284">
        <w:t xml:space="preserve"> and </w:t>
      </w:r>
      <w:r w:rsidRPr="00981284">
        <w:rPr>
          <w:b/>
          <w:bCs/>
        </w:rPr>
        <w:t>Tax (+5.28%)</w:t>
      </w:r>
      <w:r w:rsidRPr="00981284">
        <w:t xml:space="preserve"> proved resilient, with Management standing out as the </w:t>
      </w:r>
      <w:r w:rsidRPr="00981284">
        <w:rPr>
          <w:b/>
          <w:bCs/>
        </w:rPr>
        <w:t>top growth driver</w:t>
      </w:r>
      <w:r w:rsidRPr="00981284">
        <w:t>.</w:t>
      </w:r>
    </w:p>
    <w:p w14:paraId="4B3D090D" w14:textId="77777777" w:rsidR="00E675EA" w:rsidRPr="00981284" w:rsidRDefault="00E675EA" w:rsidP="00E675EA">
      <w:pPr>
        <w:numPr>
          <w:ilvl w:val="0"/>
          <w:numId w:val="40"/>
        </w:numPr>
        <w:tabs>
          <w:tab w:val="left" w:pos="7650"/>
        </w:tabs>
      </w:pPr>
      <w:r w:rsidRPr="00981284">
        <w:rPr>
          <w:b/>
          <w:bCs/>
        </w:rPr>
        <w:t>Declining Performers:</w:t>
      </w:r>
    </w:p>
    <w:p w14:paraId="7F9104F8" w14:textId="77777777" w:rsidR="00E675EA" w:rsidRPr="00981284" w:rsidRDefault="00E675EA" w:rsidP="00E675EA">
      <w:pPr>
        <w:numPr>
          <w:ilvl w:val="1"/>
          <w:numId w:val="40"/>
        </w:numPr>
        <w:tabs>
          <w:tab w:val="left" w:pos="7650"/>
        </w:tabs>
      </w:pPr>
      <w:r w:rsidRPr="00981284">
        <w:rPr>
          <w:b/>
          <w:bCs/>
        </w:rPr>
        <w:t>Advisory (-26.53%)</w:t>
      </w:r>
      <w:r w:rsidRPr="00981284">
        <w:t xml:space="preserve"> and </w:t>
      </w:r>
      <w:r w:rsidRPr="00981284">
        <w:rPr>
          <w:b/>
          <w:bCs/>
        </w:rPr>
        <w:t>Legal (-11.53%)</w:t>
      </w:r>
      <w:r w:rsidRPr="00981284">
        <w:t xml:space="preserve"> dragged overall revenue down, showing weak demand and client retention issues.</w:t>
      </w:r>
    </w:p>
    <w:p w14:paraId="7978A8B5" w14:textId="77777777" w:rsidR="00E675EA" w:rsidRPr="00981284" w:rsidRDefault="00E675EA" w:rsidP="00E675EA">
      <w:pPr>
        <w:numPr>
          <w:ilvl w:val="1"/>
          <w:numId w:val="40"/>
        </w:numPr>
        <w:tabs>
          <w:tab w:val="left" w:pos="7650"/>
        </w:tabs>
      </w:pPr>
      <w:r w:rsidRPr="00981284">
        <w:rPr>
          <w:b/>
          <w:bCs/>
        </w:rPr>
        <w:t>Audit (-9.23%)</w:t>
      </w:r>
      <w:r w:rsidRPr="00981284">
        <w:t xml:space="preserve"> also underperformed despite occasional revenue spikes.</w:t>
      </w:r>
    </w:p>
    <w:p w14:paraId="24ED2975" w14:textId="77777777" w:rsidR="00E675EA" w:rsidRPr="00981284" w:rsidRDefault="00E675EA" w:rsidP="00E675EA">
      <w:pPr>
        <w:numPr>
          <w:ilvl w:val="0"/>
          <w:numId w:val="40"/>
        </w:numPr>
        <w:tabs>
          <w:tab w:val="left" w:pos="7650"/>
        </w:tabs>
      </w:pPr>
      <w:r w:rsidRPr="00981284">
        <w:rPr>
          <w:b/>
          <w:bCs/>
        </w:rPr>
        <w:t>Predictive Model Performance:</w:t>
      </w:r>
    </w:p>
    <w:p w14:paraId="395C312A" w14:textId="77777777" w:rsidR="00E675EA" w:rsidRPr="00981284" w:rsidRDefault="00E675EA" w:rsidP="00E675EA">
      <w:pPr>
        <w:numPr>
          <w:ilvl w:val="1"/>
          <w:numId w:val="40"/>
        </w:numPr>
        <w:tabs>
          <w:tab w:val="left" w:pos="7650"/>
        </w:tabs>
      </w:pPr>
      <w:r w:rsidRPr="00981284">
        <w:t xml:space="preserve">Across all departments, predicted revenues were consistently slightly higher than actuals — proving the </w:t>
      </w:r>
      <w:r w:rsidRPr="00981284">
        <w:rPr>
          <w:b/>
          <w:bCs/>
        </w:rPr>
        <w:t>models were reliable</w:t>
      </w:r>
      <w:r w:rsidRPr="00981284">
        <w:t xml:space="preserve"> but execution and market shocks limited results.</w:t>
      </w:r>
    </w:p>
    <w:p w14:paraId="20D6F2EC" w14:textId="77777777" w:rsidR="00E675EA" w:rsidRPr="00981284" w:rsidRDefault="00E675EA" w:rsidP="00E675EA">
      <w:pPr>
        <w:numPr>
          <w:ilvl w:val="1"/>
          <w:numId w:val="40"/>
        </w:numPr>
        <w:tabs>
          <w:tab w:val="left" w:pos="7650"/>
        </w:tabs>
      </w:pPr>
      <w:r w:rsidRPr="00981284">
        <w:t xml:space="preserve">Advisory was the only department where </w:t>
      </w:r>
      <w:r w:rsidRPr="00981284">
        <w:rPr>
          <w:b/>
          <w:bCs/>
        </w:rPr>
        <w:t>actuals beat predictions</w:t>
      </w:r>
      <w:r w:rsidRPr="00981284">
        <w:t>, despite being the weakest overall.</w:t>
      </w:r>
    </w:p>
    <w:p w14:paraId="71321954" w14:textId="77777777" w:rsidR="00E675EA" w:rsidRPr="00981284" w:rsidRDefault="00000000" w:rsidP="00E675EA">
      <w:pPr>
        <w:tabs>
          <w:tab w:val="left" w:pos="7650"/>
        </w:tabs>
      </w:pPr>
      <w:r>
        <w:pict w14:anchorId="78A7024B">
          <v:rect id="_x0000_i1059" style="width:0;height:1.5pt" o:hralign="center" o:hrstd="t" o:hr="t" fillcolor="#a0a0a0" stroked="f"/>
        </w:pict>
      </w:r>
    </w:p>
    <w:p w14:paraId="2A02A44D" w14:textId="77777777" w:rsidR="00E675EA" w:rsidRPr="00981284" w:rsidRDefault="00E675EA" w:rsidP="00E675EA">
      <w:pPr>
        <w:tabs>
          <w:tab w:val="left" w:pos="7650"/>
        </w:tabs>
      </w:pPr>
      <w:r w:rsidRPr="00981284">
        <w:rPr>
          <w:rFonts w:ascii="Segoe UI Emoji" w:hAnsi="Segoe UI Emoji" w:cs="Segoe UI Emoji"/>
        </w:rPr>
        <w:t>✨</w:t>
      </w:r>
      <w:r w:rsidRPr="00981284">
        <w:t xml:space="preserve"> </w:t>
      </w:r>
      <w:r w:rsidRPr="00981284">
        <w:rPr>
          <w:b/>
          <w:bCs/>
        </w:rPr>
        <w:t>Executive Story:</w:t>
      </w:r>
      <w:r w:rsidRPr="00981284">
        <w:br/>
        <w:t xml:space="preserve">2023’s departmental story was one of </w:t>
      </w:r>
      <w:r w:rsidRPr="00981284">
        <w:rPr>
          <w:b/>
          <w:bCs/>
        </w:rPr>
        <w:t>imbalances</w:t>
      </w:r>
      <w:r w:rsidRPr="00981284">
        <w:t xml:space="preserve">. Management stood tall as the growth leader, while Advisory struggled significantly. Tax offered stability, Audit faced volatility, and Legal endured unpredictable swings. Predictive models were trustworthy, but the </w:t>
      </w:r>
      <w:r w:rsidRPr="00981284">
        <w:rPr>
          <w:b/>
          <w:bCs/>
        </w:rPr>
        <w:t>real challenge lies in execution and demand management, not forecasting</w:t>
      </w:r>
      <w:r w:rsidRPr="00981284">
        <w:t>.</w:t>
      </w:r>
    </w:p>
    <w:p w14:paraId="4265F052" w14:textId="77777777" w:rsidR="00E675EA" w:rsidRPr="00981284" w:rsidRDefault="00E675EA" w:rsidP="00E675EA">
      <w:pPr>
        <w:tabs>
          <w:tab w:val="left" w:pos="7650"/>
        </w:tabs>
      </w:pPr>
      <w:r w:rsidRPr="00981284">
        <w:rPr>
          <w:rFonts w:ascii="Segoe UI Emoji" w:hAnsi="Segoe UI Emoji" w:cs="Segoe UI Emoji"/>
        </w:rPr>
        <w:t>👉</w:t>
      </w:r>
      <w:r w:rsidRPr="00981284">
        <w:t xml:space="preserve"> </w:t>
      </w:r>
      <w:r w:rsidRPr="00981284">
        <w:rPr>
          <w:b/>
          <w:bCs/>
        </w:rPr>
        <w:t>Strategic Focus for 2024:</w:t>
      </w:r>
    </w:p>
    <w:p w14:paraId="5BC1452A" w14:textId="77777777" w:rsidR="00E675EA" w:rsidRPr="00981284" w:rsidRDefault="00E675EA" w:rsidP="00E675EA">
      <w:pPr>
        <w:numPr>
          <w:ilvl w:val="0"/>
          <w:numId w:val="41"/>
        </w:numPr>
        <w:tabs>
          <w:tab w:val="left" w:pos="7650"/>
        </w:tabs>
      </w:pPr>
      <w:r w:rsidRPr="00981284">
        <w:t xml:space="preserve">Double down on </w:t>
      </w:r>
      <w:r w:rsidRPr="00981284">
        <w:rPr>
          <w:b/>
          <w:bCs/>
        </w:rPr>
        <w:t>Management &amp; Tax</w:t>
      </w:r>
      <w:r w:rsidRPr="00981284">
        <w:t xml:space="preserve"> for scalable growth.</w:t>
      </w:r>
    </w:p>
    <w:p w14:paraId="2087521F" w14:textId="77777777" w:rsidR="00E675EA" w:rsidRPr="00981284" w:rsidRDefault="00E675EA" w:rsidP="00E675EA">
      <w:pPr>
        <w:numPr>
          <w:ilvl w:val="0"/>
          <w:numId w:val="41"/>
        </w:numPr>
        <w:tabs>
          <w:tab w:val="left" w:pos="7650"/>
        </w:tabs>
      </w:pPr>
      <w:r w:rsidRPr="00981284">
        <w:t xml:space="preserve">Stabilize </w:t>
      </w:r>
      <w:r w:rsidRPr="00981284">
        <w:rPr>
          <w:b/>
          <w:bCs/>
        </w:rPr>
        <w:t>Audit &amp; Legal</w:t>
      </w:r>
      <w:r w:rsidRPr="00981284">
        <w:t xml:space="preserve"> with volatility control strategies.</w:t>
      </w:r>
    </w:p>
    <w:p w14:paraId="02663E64" w14:textId="77777777" w:rsidR="00E675EA" w:rsidRPr="00981284" w:rsidRDefault="00E675EA" w:rsidP="00E675EA">
      <w:pPr>
        <w:numPr>
          <w:ilvl w:val="0"/>
          <w:numId w:val="41"/>
        </w:numPr>
        <w:tabs>
          <w:tab w:val="left" w:pos="7650"/>
        </w:tabs>
      </w:pPr>
      <w:r w:rsidRPr="00981284">
        <w:t xml:space="preserve">Urgently </w:t>
      </w:r>
      <w:r w:rsidRPr="00981284">
        <w:rPr>
          <w:b/>
          <w:bCs/>
        </w:rPr>
        <w:t>restructure Advisory</w:t>
      </w:r>
      <w:r w:rsidRPr="00981284">
        <w:t>, as its persistent decline risks long-term drag on performance.</w:t>
      </w:r>
    </w:p>
    <w:p w14:paraId="27742E9D" w14:textId="6068E462" w:rsidR="00E675EA" w:rsidRPr="00981284" w:rsidRDefault="00E675EA" w:rsidP="00E675EA">
      <w:pPr>
        <w:tabs>
          <w:tab w:val="left" w:pos="7650"/>
        </w:tabs>
      </w:pPr>
    </w:p>
    <w:p w14:paraId="1EBB11C6" w14:textId="77777777" w:rsidR="003D53F9" w:rsidRPr="00AE70B1" w:rsidRDefault="003D53F9" w:rsidP="003D53F9">
      <w:pPr>
        <w:tabs>
          <w:tab w:val="left" w:pos="7650"/>
        </w:tabs>
        <w:rPr>
          <w:b/>
          <w:bCs/>
          <w:sz w:val="32"/>
          <w:szCs w:val="32"/>
        </w:rPr>
      </w:pPr>
      <w:r w:rsidRPr="00AE70B1">
        <w:rPr>
          <w:b/>
          <w:bCs/>
          <w:sz w:val="32"/>
          <w:szCs w:val="32"/>
        </w:rPr>
        <w:t>Comparative Quarterly Revenue Analysis – 2023</w:t>
      </w:r>
    </w:p>
    <w:p w14:paraId="09A5922E" w14:textId="77777777" w:rsidR="003D53F9" w:rsidRPr="00E970D7" w:rsidRDefault="003D53F9" w:rsidP="003D53F9">
      <w:pPr>
        <w:tabs>
          <w:tab w:val="left" w:pos="7650"/>
        </w:tabs>
      </w:pPr>
      <w:r w:rsidRPr="00E970D7">
        <w:t>The year unfolded with distinct phases of growth, recovery, and stabilization across the four quarters. Each quarter painted a unique story of organizational performance, influenced by internal execution and market dynamics.</w:t>
      </w:r>
    </w:p>
    <w:p w14:paraId="2FE5997F" w14:textId="77777777" w:rsidR="003D53F9" w:rsidRPr="00E970D7" w:rsidRDefault="00000000" w:rsidP="003D53F9">
      <w:pPr>
        <w:tabs>
          <w:tab w:val="left" w:pos="7650"/>
        </w:tabs>
      </w:pPr>
      <w:r>
        <w:pict w14:anchorId="06F830A2">
          <v:rect id="_x0000_i1060" style="width:0;height:1.5pt" o:hralign="center" o:hrstd="t" o:hr="t" fillcolor="#a0a0a0" stroked="f"/>
        </w:pict>
      </w:r>
    </w:p>
    <w:p w14:paraId="163E6C1D" w14:textId="6FA5B5D4" w:rsidR="003D53F9" w:rsidRPr="00E970D7" w:rsidRDefault="0059010A" w:rsidP="003D53F9">
      <w:pPr>
        <w:tabs>
          <w:tab w:val="left" w:pos="7650"/>
        </w:tabs>
        <w:rPr>
          <w:b/>
          <w:bCs/>
        </w:rPr>
      </w:pPr>
      <w:r>
        <w:rPr>
          <w:b/>
          <w:bCs/>
        </w:rPr>
        <w:lastRenderedPageBreak/>
        <w:t>First quarter(Q1)</w:t>
      </w:r>
      <w:r w:rsidR="003D53F9" w:rsidRPr="00E970D7">
        <w:rPr>
          <w:b/>
          <w:bCs/>
        </w:rPr>
        <w:t>: A Rocky Start – Decline and Volatility</w:t>
      </w:r>
    </w:p>
    <w:p w14:paraId="73C6593E" w14:textId="77777777" w:rsidR="003D53F9" w:rsidRPr="00E970D7" w:rsidRDefault="003D53F9" w:rsidP="003D53F9">
      <w:pPr>
        <w:numPr>
          <w:ilvl w:val="0"/>
          <w:numId w:val="42"/>
        </w:numPr>
        <w:tabs>
          <w:tab w:val="left" w:pos="7650"/>
        </w:tabs>
      </w:pPr>
      <w:r w:rsidRPr="00E970D7">
        <w:rPr>
          <w:b/>
          <w:bCs/>
        </w:rPr>
        <w:t>Performance:</w:t>
      </w:r>
      <w:r w:rsidRPr="00E970D7">
        <w:t xml:space="preserve"> Revenue dropped </w:t>
      </w:r>
      <w:r w:rsidRPr="00E970D7">
        <w:rPr>
          <w:b/>
          <w:bCs/>
        </w:rPr>
        <w:t>12.98%</w:t>
      </w:r>
      <w:r w:rsidRPr="00E970D7">
        <w:t xml:space="preserve"> in Q1, weighed down by a sharp </w:t>
      </w:r>
      <w:r w:rsidRPr="00E970D7">
        <w:rPr>
          <w:b/>
          <w:bCs/>
        </w:rPr>
        <w:t>21.22% decline in March</w:t>
      </w:r>
      <w:r w:rsidRPr="00E970D7">
        <w:t>.</w:t>
      </w:r>
    </w:p>
    <w:p w14:paraId="1B5A8F05" w14:textId="77777777" w:rsidR="003D53F9" w:rsidRPr="00E970D7" w:rsidRDefault="003D53F9" w:rsidP="003D53F9">
      <w:pPr>
        <w:numPr>
          <w:ilvl w:val="0"/>
          <w:numId w:val="42"/>
        </w:numPr>
        <w:tabs>
          <w:tab w:val="left" w:pos="7650"/>
        </w:tabs>
      </w:pPr>
      <w:r w:rsidRPr="00E970D7">
        <w:rPr>
          <w:b/>
          <w:bCs/>
        </w:rPr>
        <w:t>Monthly Story:</w:t>
      </w:r>
      <w:r w:rsidRPr="00E970D7">
        <w:t xml:space="preserve"> January began strong (₦16.04M), but February underperformed (₦14.86M) before partial recovery in March (₦17.17M).</w:t>
      </w:r>
    </w:p>
    <w:p w14:paraId="7C2D7114" w14:textId="77777777" w:rsidR="003D53F9" w:rsidRPr="00E970D7" w:rsidRDefault="003D53F9" w:rsidP="003D53F9">
      <w:pPr>
        <w:numPr>
          <w:ilvl w:val="0"/>
          <w:numId w:val="42"/>
        </w:numPr>
        <w:tabs>
          <w:tab w:val="left" w:pos="7650"/>
        </w:tabs>
      </w:pPr>
      <w:r w:rsidRPr="00E970D7">
        <w:rPr>
          <w:b/>
          <w:bCs/>
        </w:rPr>
        <w:t>Anomalies:</w:t>
      </w:r>
      <w:r w:rsidRPr="00E970D7">
        <w:t xml:space="preserve"> Frequent spikes and drops in MoM growth, including a </w:t>
      </w:r>
      <w:r w:rsidRPr="00E970D7">
        <w:rPr>
          <w:b/>
          <w:bCs/>
        </w:rPr>
        <w:t>+47.93% surge</w:t>
      </w:r>
      <w:r w:rsidRPr="00E970D7">
        <w:t xml:space="preserve"> on March 27, suggested instability in revenue drivers.</w:t>
      </w:r>
    </w:p>
    <w:p w14:paraId="76580A4B" w14:textId="77777777" w:rsidR="003D53F9" w:rsidRPr="00E970D7" w:rsidRDefault="003D53F9" w:rsidP="003D53F9">
      <w:pPr>
        <w:numPr>
          <w:ilvl w:val="0"/>
          <w:numId w:val="42"/>
        </w:numPr>
        <w:tabs>
          <w:tab w:val="left" w:pos="7650"/>
        </w:tabs>
      </w:pPr>
      <w:r w:rsidRPr="00E970D7">
        <w:rPr>
          <w:b/>
          <w:bCs/>
        </w:rPr>
        <w:t>Predictive Check:</w:t>
      </w:r>
      <w:r w:rsidRPr="00E970D7">
        <w:t xml:space="preserve"> Predicted revenue (₦16.03M) slightly outpaced actuals, highlighting underperformance.</w:t>
      </w:r>
    </w:p>
    <w:p w14:paraId="2A8FCD2B" w14:textId="77777777" w:rsidR="003D53F9" w:rsidRPr="00E970D7" w:rsidRDefault="003D53F9" w:rsidP="003D53F9">
      <w:pPr>
        <w:tabs>
          <w:tab w:val="left" w:pos="7650"/>
        </w:tabs>
      </w:pPr>
      <w:r w:rsidRPr="00E970D7">
        <w:rPr>
          <w:b/>
          <w:bCs/>
        </w:rPr>
        <w:t>Takeaway:</w:t>
      </w:r>
      <w:r w:rsidRPr="00E970D7">
        <w:t xml:space="preserve"> Q1 highlighted revenue fragility, with short-lived gains undone by volatility.</w:t>
      </w:r>
    </w:p>
    <w:p w14:paraId="69BEB014" w14:textId="77777777" w:rsidR="003D53F9" w:rsidRPr="00E970D7" w:rsidRDefault="00000000" w:rsidP="003D53F9">
      <w:pPr>
        <w:tabs>
          <w:tab w:val="left" w:pos="7650"/>
        </w:tabs>
      </w:pPr>
      <w:r>
        <w:pict w14:anchorId="7A6E6A66">
          <v:rect id="_x0000_i1061" style="width:0;height:1.5pt" o:hralign="center" o:hrstd="t" o:hr="t" fillcolor="#a0a0a0" stroked="f"/>
        </w:pict>
      </w:r>
    </w:p>
    <w:p w14:paraId="5375D7B7" w14:textId="1412940E" w:rsidR="003D53F9" w:rsidRPr="00E970D7" w:rsidRDefault="0059010A" w:rsidP="003D53F9">
      <w:pPr>
        <w:tabs>
          <w:tab w:val="left" w:pos="7650"/>
        </w:tabs>
        <w:rPr>
          <w:b/>
          <w:bCs/>
        </w:rPr>
      </w:pPr>
      <w:r>
        <w:rPr>
          <w:b/>
          <w:bCs/>
        </w:rPr>
        <w:t>Second Quarter(</w:t>
      </w:r>
      <w:r w:rsidR="003D53F9" w:rsidRPr="00E970D7">
        <w:rPr>
          <w:b/>
          <w:bCs/>
        </w:rPr>
        <w:t>Q2</w:t>
      </w:r>
      <w:r>
        <w:rPr>
          <w:b/>
          <w:bCs/>
        </w:rPr>
        <w:t>)</w:t>
      </w:r>
      <w:r w:rsidR="003D53F9" w:rsidRPr="00E970D7">
        <w:rPr>
          <w:b/>
          <w:bCs/>
        </w:rPr>
        <w:t>: The Turning Point – Strong Growth and Resilience</w:t>
      </w:r>
    </w:p>
    <w:p w14:paraId="6AE16942" w14:textId="77777777" w:rsidR="003D53F9" w:rsidRPr="00E970D7" w:rsidRDefault="003D53F9" w:rsidP="003D53F9">
      <w:pPr>
        <w:numPr>
          <w:ilvl w:val="0"/>
          <w:numId w:val="43"/>
        </w:numPr>
        <w:tabs>
          <w:tab w:val="left" w:pos="7650"/>
        </w:tabs>
      </w:pPr>
      <w:r w:rsidRPr="00E970D7">
        <w:rPr>
          <w:b/>
          <w:bCs/>
        </w:rPr>
        <w:t>Performance:</w:t>
      </w:r>
      <w:r w:rsidRPr="00E970D7">
        <w:t xml:space="preserve"> A clear rebound with </w:t>
      </w:r>
      <w:r w:rsidRPr="00E970D7">
        <w:rPr>
          <w:b/>
          <w:bCs/>
        </w:rPr>
        <w:t>+13.50% growth</w:t>
      </w:r>
      <w:r w:rsidRPr="00E970D7">
        <w:t xml:space="preserve">, driven by a </w:t>
      </w:r>
      <w:r w:rsidRPr="00E970D7">
        <w:rPr>
          <w:b/>
          <w:bCs/>
        </w:rPr>
        <w:t>23.44% surge in late May</w:t>
      </w:r>
      <w:r w:rsidRPr="00E970D7">
        <w:t>.</w:t>
      </w:r>
    </w:p>
    <w:p w14:paraId="64900AC0" w14:textId="77777777" w:rsidR="003D53F9" w:rsidRPr="00E970D7" w:rsidRDefault="003D53F9" w:rsidP="003D53F9">
      <w:pPr>
        <w:numPr>
          <w:ilvl w:val="0"/>
          <w:numId w:val="43"/>
        </w:numPr>
        <w:tabs>
          <w:tab w:val="left" w:pos="7650"/>
        </w:tabs>
      </w:pPr>
      <w:r w:rsidRPr="00E970D7">
        <w:rPr>
          <w:b/>
          <w:bCs/>
        </w:rPr>
        <w:t>Monthly Story:</w:t>
      </w:r>
      <w:r w:rsidRPr="00E970D7">
        <w:t xml:space="preserve"> Revenue grew steadily from April (₦16.38M) to May (₦16.64M) before easing slightly in June (₦15.71M).</w:t>
      </w:r>
    </w:p>
    <w:p w14:paraId="04F958AC" w14:textId="77777777" w:rsidR="003D53F9" w:rsidRPr="00E970D7" w:rsidRDefault="003D53F9" w:rsidP="003D53F9">
      <w:pPr>
        <w:numPr>
          <w:ilvl w:val="0"/>
          <w:numId w:val="43"/>
        </w:numPr>
        <w:tabs>
          <w:tab w:val="left" w:pos="7650"/>
        </w:tabs>
      </w:pPr>
      <w:r w:rsidRPr="00E970D7">
        <w:rPr>
          <w:b/>
          <w:bCs/>
        </w:rPr>
        <w:t>Anomalies:</w:t>
      </w:r>
      <w:r w:rsidRPr="00E970D7">
        <w:t xml:space="preserve"> June 16 saw an unusual </w:t>
      </w:r>
      <w:r w:rsidRPr="00E970D7">
        <w:rPr>
          <w:b/>
          <w:bCs/>
        </w:rPr>
        <w:t>+37.24% spike</w:t>
      </w:r>
      <w:r w:rsidRPr="00E970D7">
        <w:t>, outside the expected range.</w:t>
      </w:r>
    </w:p>
    <w:p w14:paraId="6CCB67B1" w14:textId="77777777" w:rsidR="003D53F9" w:rsidRPr="00E970D7" w:rsidRDefault="003D53F9" w:rsidP="003D53F9">
      <w:pPr>
        <w:numPr>
          <w:ilvl w:val="0"/>
          <w:numId w:val="43"/>
        </w:numPr>
        <w:tabs>
          <w:tab w:val="left" w:pos="7650"/>
        </w:tabs>
      </w:pPr>
      <w:r w:rsidRPr="00E970D7">
        <w:rPr>
          <w:b/>
          <w:bCs/>
        </w:rPr>
        <w:t>Predictive Check:</w:t>
      </w:r>
      <w:r w:rsidRPr="00E970D7">
        <w:t xml:space="preserve"> Actuals (₦16.25M) edged higher than predictions (₦16.24M), suggesting that growth slightly exceeded expectations.</w:t>
      </w:r>
    </w:p>
    <w:p w14:paraId="5255EDC2" w14:textId="77777777" w:rsidR="003D53F9" w:rsidRPr="00E970D7" w:rsidRDefault="003D53F9" w:rsidP="003D53F9">
      <w:pPr>
        <w:tabs>
          <w:tab w:val="left" w:pos="7650"/>
        </w:tabs>
      </w:pPr>
      <w:r w:rsidRPr="00E970D7">
        <w:rPr>
          <w:b/>
          <w:bCs/>
        </w:rPr>
        <w:t>Takeaway:</w:t>
      </w:r>
      <w:r w:rsidRPr="00E970D7">
        <w:t xml:space="preserve"> Q2 became the year’s </w:t>
      </w:r>
      <w:r w:rsidRPr="00E970D7">
        <w:rPr>
          <w:b/>
          <w:bCs/>
        </w:rPr>
        <w:t>growth engine</w:t>
      </w:r>
      <w:r w:rsidRPr="00E970D7">
        <w:t>, stabilizing after Q1 turbulence.</w:t>
      </w:r>
    </w:p>
    <w:p w14:paraId="458EFA14" w14:textId="77777777" w:rsidR="003D53F9" w:rsidRPr="00E970D7" w:rsidRDefault="00000000" w:rsidP="003D53F9">
      <w:pPr>
        <w:tabs>
          <w:tab w:val="left" w:pos="7650"/>
        </w:tabs>
      </w:pPr>
      <w:r>
        <w:pict w14:anchorId="78F4CA0E">
          <v:rect id="_x0000_i1062" style="width:0;height:1.5pt" o:hralign="center" o:hrstd="t" o:hr="t" fillcolor="#a0a0a0" stroked="f"/>
        </w:pict>
      </w:r>
    </w:p>
    <w:p w14:paraId="191C9980" w14:textId="03CEFFFE" w:rsidR="003D53F9" w:rsidRPr="00E970D7" w:rsidRDefault="0059010A" w:rsidP="003D53F9">
      <w:pPr>
        <w:tabs>
          <w:tab w:val="left" w:pos="7650"/>
        </w:tabs>
        <w:rPr>
          <w:b/>
          <w:bCs/>
        </w:rPr>
      </w:pPr>
      <w:r>
        <w:rPr>
          <w:b/>
          <w:bCs/>
        </w:rPr>
        <w:t>(Third Quarter)</w:t>
      </w:r>
      <w:r w:rsidR="003D53F9" w:rsidRPr="00E970D7">
        <w:rPr>
          <w:b/>
          <w:bCs/>
        </w:rPr>
        <w:t>Q3: Sustained Growth but Early Signs of Fatigue</w:t>
      </w:r>
    </w:p>
    <w:p w14:paraId="79397ADE" w14:textId="77777777" w:rsidR="003D53F9" w:rsidRPr="00E970D7" w:rsidRDefault="003D53F9" w:rsidP="003D53F9">
      <w:pPr>
        <w:numPr>
          <w:ilvl w:val="0"/>
          <w:numId w:val="44"/>
        </w:numPr>
        <w:tabs>
          <w:tab w:val="left" w:pos="7650"/>
        </w:tabs>
      </w:pPr>
      <w:r w:rsidRPr="00E970D7">
        <w:rPr>
          <w:b/>
          <w:bCs/>
        </w:rPr>
        <w:t>Performance:</w:t>
      </w:r>
      <w:r w:rsidRPr="00E970D7">
        <w:t xml:space="preserve"> Revenue climbed </w:t>
      </w:r>
      <w:r w:rsidRPr="00E970D7">
        <w:rPr>
          <w:b/>
          <w:bCs/>
        </w:rPr>
        <w:t>+13.20%</w:t>
      </w:r>
      <w:r w:rsidRPr="00E970D7">
        <w:t>, though the increase was less pronounced than Q2.</w:t>
      </w:r>
    </w:p>
    <w:p w14:paraId="2D2B9FC5" w14:textId="77777777" w:rsidR="003D53F9" w:rsidRPr="00E970D7" w:rsidRDefault="003D53F9" w:rsidP="003D53F9">
      <w:pPr>
        <w:numPr>
          <w:ilvl w:val="0"/>
          <w:numId w:val="44"/>
        </w:numPr>
        <w:tabs>
          <w:tab w:val="left" w:pos="7650"/>
        </w:tabs>
      </w:pPr>
      <w:r w:rsidRPr="00E970D7">
        <w:rPr>
          <w:b/>
          <w:bCs/>
        </w:rPr>
        <w:t>Monthly Story:</w:t>
      </w:r>
      <w:r w:rsidRPr="00E970D7">
        <w:t xml:space="preserve"> Strong July (₦16.76M) gradually tapered to September (₦16.10M).</w:t>
      </w:r>
    </w:p>
    <w:p w14:paraId="7D9D0BA0" w14:textId="77777777" w:rsidR="003D53F9" w:rsidRPr="00E970D7" w:rsidRDefault="003D53F9" w:rsidP="003D53F9">
      <w:pPr>
        <w:numPr>
          <w:ilvl w:val="0"/>
          <w:numId w:val="44"/>
        </w:numPr>
        <w:tabs>
          <w:tab w:val="left" w:pos="7650"/>
        </w:tabs>
      </w:pPr>
      <w:r w:rsidRPr="00E970D7">
        <w:rPr>
          <w:b/>
          <w:bCs/>
        </w:rPr>
        <w:t>Anomalies:</w:t>
      </w:r>
      <w:r w:rsidRPr="00E970D7">
        <w:t xml:space="preserve"> Multiple spikes (up to </w:t>
      </w:r>
      <w:r w:rsidRPr="00E970D7">
        <w:rPr>
          <w:b/>
          <w:bCs/>
        </w:rPr>
        <w:t>+33.65% in September</w:t>
      </w:r>
      <w:r w:rsidRPr="00E970D7">
        <w:t>) hinted at volatile demand patterns.</w:t>
      </w:r>
    </w:p>
    <w:p w14:paraId="0CD3E8C6" w14:textId="77777777" w:rsidR="003D53F9" w:rsidRPr="00E970D7" w:rsidRDefault="003D53F9" w:rsidP="003D53F9">
      <w:pPr>
        <w:numPr>
          <w:ilvl w:val="0"/>
          <w:numId w:val="44"/>
        </w:numPr>
        <w:tabs>
          <w:tab w:val="left" w:pos="7650"/>
        </w:tabs>
      </w:pPr>
      <w:r w:rsidRPr="00E970D7">
        <w:rPr>
          <w:b/>
          <w:bCs/>
        </w:rPr>
        <w:t>Predictive Check:</w:t>
      </w:r>
      <w:r w:rsidRPr="00E970D7">
        <w:t xml:space="preserve"> Predicted revenue (₦16.49M) again outpaced actuals (₦16.43M), signaling missed opportunities despite growth.</w:t>
      </w:r>
    </w:p>
    <w:p w14:paraId="389599EB" w14:textId="77777777" w:rsidR="003D53F9" w:rsidRPr="00E970D7" w:rsidRDefault="003D53F9" w:rsidP="003D53F9">
      <w:pPr>
        <w:tabs>
          <w:tab w:val="left" w:pos="7650"/>
        </w:tabs>
      </w:pPr>
      <w:r w:rsidRPr="00E970D7">
        <w:rPr>
          <w:b/>
          <w:bCs/>
        </w:rPr>
        <w:lastRenderedPageBreak/>
        <w:t>Takeaway:</w:t>
      </w:r>
      <w:r w:rsidRPr="00E970D7">
        <w:t xml:space="preserve"> Q3 consolidated Q2’s rebound but revealed signs of slowing momentum.</w:t>
      </w:r>
    </w:p>
    <w:p w14:paraId="5E3EA9BB" w14:textId="77777777" w:rsidR="003D53F9" w:rsidRPr="00E970D7" w:rsidRDefault="00000000" w:rsidP="003D53F9">
      <w:pPr>
        <w:tabs>
          <w:tab w:val="left" w:pos="7650"/>
        </w:tabs>
      </w:pPr>
      <w:r>
        <w:pict w14:anchorId="61F876CA">
          <v:rect id="_x0000_i1063" style="width:0;height:1.5pt" o:hralign="center" o:hrstd="t" o:hr="t" fillcolor="#a0a0a0" stroked="f"/>
        </w:pict>
      </w:r>
    </w:p>
    <w:p w14:paraId="25025136" w14:textId="2B393F91" w:rsidR="003D53F9" w:rsidRPr="00E970D7" w:rsidRDefault="0059010A" w:rsidP="003D53F9">
      <w:pPr>
        <w:tabs>
          <w:tab w:val="left" w:pos="7650"/>
        </w:tabs>
        <w:rPr>
          <w:b/>
          <w:bCs/>
        </w:rPr>
      </w:pPr>
      <w:r>
        <w:rPr>
          <w:b/>
          <w:bCs/>
        </w:rPr>
        <w:t>(Fourth Quarter)</w:t>
      </w:r>
      <w:r w:rsidR="003D53F9" w:rsidRPr="00E970D7">
        <w:rPr>
          <w:b/>
          <w:bCs/>
        </w:rPr>
        <w:t>Q4: A Plateau – Growth Nearly Stalls</w:t>
      </w:r>
    </w:p>
    <w:p w14:paraId="64F25C22" w14:textId="77777777" w:rsidR="003D53F9" w:rsidRPr="00E970D7" w:rsidRDefault="003D53F9" w:rsidP="003D53F9">
      <w:pPr>
        <w:numPr>
          <w:ilvl w:val="0"/>
          <w:numId w:val="45"/>
        </w:numPr>
        <w:tabs>
          <w:tab w:val="left" w:pos="7650"/>
        </w:tabs>
      </w:pPr>
      <w:r w:rsidRPr="00E970D7">
        <w:rPr>
          <w:b/>
          <w:bCs/>
        </w:rPr>
        <w:t>Performance:</w:t>
      </w:r>
      <w:r w:rsidRPr="00E970D7">
        <w:t xml:space="preserve"> Only </w:t>
      </w:r>
      <w:r w:rsidRPr="00E970D7">
        <w:rPr>
          <w:b/>
          <w:bCs/>
        </w:rPr>
        <w:t>+1.05% growth</w:t>
      </w:r>
      <w:r w:rsidRPr="00E970D7">
        <w:t>, the weakest quarterly trend.</w:t>
      </w:r>
    </w:p>
    <w:p w14:paraId="40C5642F" w14:textId="77777777" w:rsidR="003D53F9" w:rsidRPr="00E970D7" w:rsidRDefault="003D53F9" w:rsidP="003D53F9">
      <w:pPr>
        <w:numPr>
          <w:ilvl w:val="0"/>
          <w:numId w:val="45"/>
        </w:numPr>
        <w:tabs>
          <w:tab w:val="left" w:pos="7650"/>
        </w:tabs>
      </w:pPr>
      <w:r w:rsidRPr="00E970D7">
        <w:rPr>
          <w:b/>
          <w:bCs/>
        </w:rPr>
        <w:t>Monthly Story:</w:t>
      </w:r>
      <w:r w:rsidRPr="00E970D7">
        <w:t xml:space="preserve"> October (₦16.74M) held firm, but by December revenue slid to </w:t>
      </w:r>
      <w:r w:rsidRPr="00E970D7">
        <w:rPr>
          <w:b/>
          <w:bCs/>
        </w:rPr>
        <w:t>₦15.86M</w:t>
      </w:r>
      <w:r w:rsidRPr="00E970D7">
        <w:t>, closing the year soft.</w:t>
      </w:r>
    </w:p>
    <w:p w14:paraId="6FA14520" w14:textId="77777777" w:rsidR="003D53F9" w:rsidRPr="00E970D7" w:rsidRDefault="003D53F9" w:rsidP="003D53F9">
      <w:pPr>
        <w:numPr>
          <w:ilvl w:val="0"/>
          <w:numId w:val="45"/>
        </w:numPr>
        <w:tabs>
          <w:tab w:val="left" w:pos="7650"/>
        </w:tabs>
      </w:pPr>
      <w:r w:rsidRPr="00E970D7">
        <w:rPr>
          <w:b/>
          <w:bCs/>
        </w:rPr>
        <w:t>Anomalies:</w:t>
      </w:r>
      <w:r w:rsidRPr="00E970D7">
        <w:t xml:space="preserve"> Significant drops in November (-22.78%) and December (-25.62%) exposed demand pressures.</w:t>
      </w:r>
    </w:p>
    <w:p w14:paraId="18E5C59A" w14:textId="77777777" w:rsidR="003D53F9" w:rsidRPr="00E970D7" w:rsidRDefault="003D53F9" w:rsidP="003D53F9">
      <w:pPr>
        <w:numPr>
          <w:ilvl w:val="0"/>
          <w:numId w:val="45"/>
        </w:numPr>
        <w:tabs>
          <w:tab w:val="left" w:pos="7650"/>
        </w:tabs>
      </w:pPr>
      <w:r w:rsidRPr="00E970D7">
        <w:rPr>
          <w:b/>
          <w:bCs/>
        </w:rPr>
        <w:t>Predictive Check:</w:t>
      </w:r>
      <w:r w:rsidRPr="00E970D7">
        <w:t xml:space="preserve"> Predicted revenue (₦16.39M) again slightly exceeded actuals (₦16.39M), reinforcing the consistent </w:t>
      </w:r>
      <w:proofErr w:type="spellStart"/>
      <w:r w:rsidRPr="00E970D7">
        <w:t>underdelivery</w:t>
      </w:r>
      <w:proofErr w:type="spellEnd"/>
      <w:r w:rsidRPr="00E970D7">
        <w:t xml:space="preserve"> trend.</w:t>
      </w:r>
    </w:p>
    <w:p w14:paraId="41DA6ADB" w14:textId="77777777" w:rsidR="003D53F9" w:rsidRPr="00E970D7" w:rsidRDefault="003D53F9" w:rsidP="003D53F9">
      <w:pPr>
        <w:tabs>
          <w:tab w:val="left" w:pos="7650"/>
        </w:tabs>
      </w:pPr>
      <w:r w:rsidRPr="00E970D7">
        <w:rPr>
          <w:b/>
          <w:bCs/>
        </w:rPr>
        <w:t>Takeaway:</w:t>
      </w:r>
      <w:r w:rsidRPr="00E970D7">
        <w:t xml:space="preserve"> Q4 exposed fatigue in growth engines, highlighting risks of demand softening as the year closed.</w:t>
      </w:r>
    </w:p>
    <w:p w14:paraId="73421917" w14:textId="77777777" w:rsidR="003D53F9" w:rsidRPr="00E970D7" w:rsidRDefault="00000000" w:rsidP="003D53F9">
      <w:pPr>
        <w:tabs>
          <w:tab w:val="left" w:pos="7650"/>
        </w:tabs>
      </w:pPr>
      <w:r>
        <w:pict w14:anchorId="13F21F64">
          <v:rect id="_x0000_i1064" style="width:0;height:1.5pt" o:hralign="center" o:hrstd="t" o:hr="t" fillcolor="#a0a0a0" stroked="f"/>
        </w:pict>
      </w:r>
    </w:p>
    <w:p w14:paraId="49C976C6" w14:textId="77777777" w:rsidR="003D53F9" w:rsidRPr="00E970D7" w:rsidRDefault="003D53F9" w:rsidP="003D53F9">
      <w:pPr>
        <w:tabs>
          <w:tab w:val="left" w:pos="7650"/>
        </w:tabs>
        <w:rPr>
          <w:b/>
          <w:bCs/>
        </w:rPr>
      </w:pPr>
      <w:r w:rsidRPr="00E970D7">
        <w:rPr>
          <w:b/>
          <w:bCs/>
        </w:rPr>
        <w:t>Overall Comparative Insights</w:t>
      </w:r>
    </w:p>
    <w:p w14:paraId="50DE67AA" w14:textId="77777777" w:rsidR="003D53F9" w:rsidRPr="00E970D7" w:rsidRDefault="003D53F9" w:rsidP="003D53F9">
      <w:pPr>
        <w:numPr>
          <w:ilvl w:val="0"/>
          <w:numId w:val="46"/>
        </w:numPr>
        <w:tabs>
          <w:tab w:val="left" w:pos="7650"/>
        </w:tabs>
      </w:pPr>
      <w:r w:rsidRPr="00E970D7">
        <w:rPr>
          <w:b/>
          <w:bCs/>
        </w:rPr>
        <w:t>Strongest Quarter:</w:t>
      </w:r>
      <w:r w:rsidRPr="00E970D7">
        <w:t xml:space="preserve"> </w:t>
      </w:r>
      <w:r w:rsidRPr="00E970D7">
        <w:rPr>
          <w:b/>
          <w:bCs/>
        </w:rPr>
        <w:t>Q2</w:t>
      </w:r>
      <w:r w:rsidRPr="00E970D7">
        <w:t xml:space="preserve"> – clear recovery with growth momentum.</w:t>
      </w:r>
    </w:p>
    <w:p w14:paraId="7F3BC783" w14:textId="77777777" w:rsidR="003D53F9" w:rsidRPr="00E970D7" w:rsidRDefault="003D53F9" w:rsidP="003D53F9">
      <w:pPr>
        <w:numPr>
          <w:ilvl w:val="0"/>
          <w:numId w:val="46"/>
        </w:numPr>
        <w:tabs>
          <w:tab w:val="left" w:pos="7650"/>
        </w:tabs>
      </w:pPr>
      <w:r w:rsidRPr="00E970D7">
        <w:rPr>
          <w:b/>
          <w:bCs/>
        </w:rPr>
        <w:t>Weakest Quarter:</w:t>
      </w:r>
      <w:r w:rsidRPr="00E970D7">
        <w:t xml:space="preserve"> </w:t>
      </w:r>
      <w:r w:rsidRPr="00E970D7">
        <w:rPr>
          <w:b/>
          <w:bCs/>
        </w:rPr>
        <w:t>Q1</w:t>
      </w:r>
      <w:r w:rsidRPr="00E970D7">
        <w:t xml:space="preserve"> – steep decline and volatility.</w:t>
      </w:r>
    </w:p>
    <w:p w14:paraId="3361D5DD" w14:textId="77777777" w:rsidR="003D53F9" w:rsidRPr="00E970D7" w:rsidRDefault="003D53F9" w:rsidP="003D53F9">
      <w:pPr>
        <w:numPr>
          <w:ilvl w:val="0"/>
          <w:numId w:val="46"/>
        </w:numPr>
        <w:tabs>
          <w:tab w:val="left" w:pos="7650"/>
        </w:tabs>
      </w:pPr>
      <w:r w:rsidRPr="00E970D7">
        <w:rPr>
          <w:b/>
          <w:bCs/>
        </w:rPr>
        <w:t>Turning Point:</w:t>
      </w:r>
      <w:r w:rsidRPr="00E970D7">
        <w:t xml:space="preserve"> Late Q2 into early Q3 – stability before softening.</w:t>
      </w:r>
    </w:p>
    <w:p w14:paraId="4B566111" w14:textId="77777777" w:rsidR="003D53F9" w:rsidRPr="00E970D7" w:rsidRDefault="003D53F9" w:rsidP="003D53F9">
      <w:pPr>
        <w:numPr>
          <w:ilvl w:val="0"/>
          <w:numId w:val="46"/>
        </w:numPr>
        <w:tabs>
          <w:tab w:val="left" w:pos="7650"/>
        </w:tabs>
      </w:pPr>
      <w:r w:rsidRPr="00E970D7">
        <w:rPr>
          <w:b/>
          <w:bCs/>
        </w:rPr>
        <w:t>Predictive Consistency:</w:t>
      </w:r>
      <w:r w:rsidRPr="00E970D7">
        <w:t xml:space="preserve"> Predictions remained slightly higher than actuals in </w:t>
      </w:r>
      <w:r w:rsidRPr="00E970D7">
        <w:rPr>
          <w:b/>
          <w:bCs/>
        </w:rPr>
        <w:t>3 out of 4 quarters</w:t>
      </w:r>
      <w:r w:rsidRPr="00E970D7">
        <w:t>, suggesting systemic underperformance relative to expectations.</w:t>
      </w:r>
    </w:p>
    <w:p w14:paraId="4BD6A497" w14:textId="77777777" w:rsidR="003D53F9" w:rsidRPr="00E970D7" w:rsidRDefault="003D53F9" w:rsidP="003D53F9">
      <w:pPr>
        <w:numPr>
          <w:ilvl w:val="0"/>
          <w:numId w:val="46"/>
        </w:numPr>
        <w:tabs>
          <w:tab w:val="left" w:pos="7650"/>
        </w:tabs>
      </w:pPr>
      <w:r w:rsidRPr="00E970D7">
        <w:rPr>
          <w:b/>
          <w:bCs/>
        </w:rPr>
        <w:t>Strategic Concern:</w:t>
      </w:r>
      <w:r w:rsidRPr="00E970D7">
        <w:t xml:space="preserve"> The plateau in Q4 indicates a need for </w:t>
      </w:r>
      <w:r w:rsidRPr="00E970D7">
        <w:rPr>
          <w:b/>
          <w:bCs/>
        </w:rPr>
        <w:t>demand stimulation and operational agility</w:t>
      </w:r>
      <w:r w:rsidRPr="00E970D7">
        <w:t xml:space="preserve"> to sustain 2024 performance.</w:t>
      </w:r>
    </w:p>
    <w:p w14:paraId="0474FF6A" w14:textId="77777777" w:rsidR="003D53F9" w:rsidRPr="00E970D7" w:rsidRDefault="00000000" w:rsidP="003D53F9">
      <w:pPr>
        <w:tabs>
          <w:tab w:val="left" w:pos="7650"/>
        </w:tabs>
      </w:pPr>
      <w:r>
        <w:pict w14:anchorId="4AAB0A68">
          <v:rect id="_x0000_i1065" style="width:0;height:1.5pt" o:hralign="center" o:hrstd="t" o:hr="t" fillcolor="#a0a0a0" stroked="f"/>
        </w:pict>
      </w:r>
    </w:p>
    <w:p w14:paraId="17772EB9" w14:textId="7AB94E05" w:rsidR="003D53F9" w:rsidRDefault="003D53F9" w:rsidP="003D53F9">
      <w:pPr>
        <w:tabs>
          <w:tab w:val="left" w:pos="7650"/>
        </w:tabs>
      </w:pPr>
      <w:r w:rsidRPr="00E970D7">
        <w:rPr>
          <w:rFonts w:ascii="Segoe UI Emoji" w:hAnsi="Segoe UI Emoji" w:cs="Segoe UI Emoji"/>
        </w:rPr>
        <w:t>✨</w:t>
      </w:r>
      <w:r w:rsidRPr="00E970D7">
        <w:t xml:space="preserve"> </w:t>
      </w:r>
      <w:r w:rsidRPr="00E970D7">
        <w:rPr>
          <w:b/>
          <w:bCs/>
        </w:rPr>
        <w:t>Narrative Summary:</w:t>
      </w:r>
      <w:r w:rsidRPr="00E970D7">
        <w:br/>
        <w:t xml:space="preserve">The year 2023 told a story of </w:t>
      </w:r>
      <w:r w:rsidRPr="00E970D7">
        <w:rPr>
          <w:b/>
          <w:bCs/>
        </w:rPr>
        <w:t>early turbulence, mid-year resilience, and late-year caution</w:t>
      </w:r>
      <w:r w:rsidRPr="00E970D7">
        <w:t>. Q1’s volatility threatened stability, but Q2’s rebound reignited confidence. Q3 sustained momentum but hinted at saturation, and Q4 confirmed growth fatigue. The predictive model consistently overestimated performance, signaling either optimistic forecasting or missed execution opportunitie</w:t>
      </w:r>
      <w:r w:rsidR="00171E27">
        <w:t>s</w:t>
      </w:r>
    </w:p>
    <w:p w14:paraId="52481EF0" w14:textId="77777777" w:rsidR="003D53F9" w:rsidRDefault="003D53F9" w:rsidP="003D53F9">
      <w:pPr>
        <w:tabs>
          <w:tab w:val="left" w:pos="7650"/>
        </w:tabs>
      </w:pPr>
    </w:p>
    <w:p w14:paraId="6E275B5B" w14:textId="77777777" w:rsidR="003D53F9" w:rsidRDefault="003D53F9" w:rsidP="002405C4">
      <w:pPr>
        <w:tabs>
          <w:tab w:val="left" w:pos="7650"/>
        </w:tabs>
        <w:rPr>
          <w:rFonts w:ascii="Segoe UI Emoji" w:hAnsi="Segoe UI Emoji" w:cs="Segoe UI Emoji"/>
          <w:b/>
          <w:bCs/>
        </w:rPr>
      </w:pPr>
    </w:p>
    <w:p w14:paraId="27186E52" w14:textId="77777777" w:rsidR="00923299" w:rsidRDefault="00923299" w:rsidP="002405C4">
      <w:pPr>
        <w:tabs>
          <w:tab w:val="left" w:pos="7650"/>
        </w:tabs>
        <w:rPr>
          <w:rFonts w:ascii="Segoe UI Emoji" w:hAnsi="Segoe UI Emoji" w:cs="Segoe UI Emoji"/>
          <w:b/>
          <w:bCs/>
        </w:rPr>
      </w:pPr>
    </w:p>
    <w:p w14:paraId="797BA293" w14:textId="77777777" w:rsidR="00923299" w:rsidRDefault="00923299" w:rsidP="002405C4">
      <w:pPr>
        <w:tabs>
          <w:tab w:val="left" w:pos="7650"/>
        </w:tabs>
        <w:rPr>
          <w:rFonts w:ascii="Segoe UI Emoji" w:hAnsi="Segoe UI Emoji" w:cs="Segoe UI Emoji"/>
          <w:b/>
          <w:bCs/>
        </w:rPr>
      </w:pPr>
    </w:p>
    <w:p w14:paraId="2F3AD893" w14:textId="77777777" w:rsidR="00923299" w:rsidRDefault="00923299" w:rsidP="002405C4">
      <w:pPr>
        <w:tabs>
          <w:tab w:val="left" w:pos="7650"/>
        </w:tabs>
        <w:rPr>
          <w:rFonts w:ascii="Segoe UI Emoji" w:hAnsi="Segoe UI Emoji" w:cs="Segoe UI Emoji"/>
          <w:b/>
          <w:bCs/>
        </w:rPr>
      </w:pPr>
    </w:p>
    <w:p w14:paraId="532C8D2F" w14:textId="77777777" w:rsidR="00923299" w:rsidRDefault="00923299" w:rsidP="002405C4">
      <w:pPr>
        <w:tabs>
          <w:tab w:val="left" w:pos="7650"/>
        </w:tabs>
        <w:rPr>
          <w:rFonts w:ascii="Segoe UI Emoji" w:hAnsi="Segoe UI Emoji" w:cs="Segoe UI Emoji"/>
          <w:b/>
          <w:bCs/>
        </w:rPr>
      </w:pPr>
    </w:p>
    <w:p w14:paraId="4E20FFF8" w14:textId="77777777" w:rsidR="00923299" w:rsidRDefault="00923299" w:rsidP="002405C4">
      <w:pPr>
        <w:tabs>
          <w:tab w:val="left" w:pos="7650"/>
        </w:tabs>
        <w:rPr>
          <w:rFonts w:ascii="Segoe UI Emoji" w:hAnsi="Segoe UI Emoji" w:cs="Segoe UI Emoji"/>
          <w:b/>
          <w:bCs/>
        </w:rPr>
      </w:pPr>
    </w:p>
    <w:p w14:paraId="5C2185B4" w14:textId="77777777" w:rsidR="00923299" w:rsidRDefault="00923299" w:rsidP="002405C4">
      <w:pPr>
        <w:tabs>
          <w:tab w:val="left" w:pos="7650"/>
        </w:tabs>
        <w:rPr>
          <w:rFonts w:ascii="Segoe UI Emoji" w:hAnsi="Segoe UI Emoji" w:cs="Segoe UI Emoji"/>
          <w:b/>
          <w:bCs/>
        </w:rPr>
      </w:pPr>
    </w:p>
    <w:p w14:paraId="35DCD504" w14:textId="77777777" w:rsidR="00923299" w:rsidRDefault="00923299" w:rsidP="002405C4">
      <w:pPr>
        <w:tabs>
          <w:tab w:val="left" w:pos="7650"/>
        </w:tabs>
        <w:rPr>
          <w:rFonts w:ascii="Segoe UI Emoji" w:hAnsi="Segoe UI Emoji" w:cs="Segoe UI Emoji"/>
          <w:b/>
          <w:bCs/>
        </w:rPr>
      </w:pPr>
    </w:p>
    <w:p w14:paraId="2AE5279D" w14:textId="77777777" w:rsidR="00923299" w:rsidRDefault="00923299" w:rsidP="002405C4">
      <w:pPr>
        <w:tabs>
          <w:tab w:val="left" w:pos="7650"/>
        </w:tabs>
        <w:rPr>
          <w:rFonts w:ascii="Segoe UI Emoji" w:hAnsi="Segoe UI Emoji" w:cs="Segoe UI Emoji"/>
          <w:b/>
          <w:bCs/>
        </w:rPr>
      </w:pPr>
    </w:p>
    <w:p w14:paraId="4DA4985D" w14:textId="77777777" w:rsidR="00923299" w:rsidRDefault="00923299" w:rsidP="002405C4">
      <w:pPr>
        <w:tabs>
          <w:tab w:val="left" w:pos="7650"/>
        </w:tabs>
        <w:rPr>
          <w:rFonts w:ascii="Segoe UI Emoji" w:hAnsi="Segoe UI Emoji" w:cs="Segoe UI Emoji"/>
          <w:b/>
          <w:bCs/>
        </w:rPr>
      </w:pPr>
    </w:p>
    <w:p w14:paraId="50C461D0" w14:textId="77777777" w:rsidR="00923299" w:rsidRDefault="00923299" w:rsidP="002405C4">
      <w:pPr>
        <w:tabs>
          <w:tab w:val="left" w:pos="7650"/>
        </w:tabs>
        <w:rPr>
          <w:rFonts w:ascii="Segoe UI Emoji" w:hAnsi="Segoe UI Emoji" w:cs="Segoe UI Emoji"/>
          <w:b/>
          <w:bCs/>
        </w:rPr>
      </w:pPr>
    </w:p>
    <w:p w14:paraId="48B92EAD" w14:textId="77777777" w:rsidR="00923299" w:rsidRDefault="00923299" w:rsidP="002405C4">
      <w:pPr>
        <w:tabs>
          <w:tab w:val="left" w:pos="7650"/>
        </w:tabs>
        <w:rPr>
          <w:rFonts w:ascii="Segoe UI Emoji" w:hAnsi="Segoe UI Emoji" w:cs="Segoe UI Emoji"/>
          <w:b/>
          <w:bCs/>
        </w:rPr>
      </w:pPr>
    </w:p>
    <w:p w14:paraId="5A1F1313" w14:textId="77777777" w:rsidR="00923299" w:rsidRDefault="00923299" w:rsidP="002405C4">
      <w:pPr>
        <w:tabs>
          <w:tab w:val="left" w:pos="7650"/>
        </w:tabs>
        <w:rPr>
          <w:rFonts w:ascii="Segoe UI Emoji" w:hAnsi="Segoe UI Emoji" w:cs="Segoe UI Emoji"/>
          <w:b/>
          <w:bCs/>
        </w:rPr>
      </w:pPr>
    </w:p>
    <w:p w14:paraId="296D4062" w14:textId="77777777" w:rsidR="00923299" w:rsidRDefault="00923299" w:rsidP="002405C4">
      <w:pPr>
        <w:tabs>
          <w:tab w:val="left" w:pos="7650"/>
        </w:tabs>
        <w:rPr>
          <w:rFonts w:ascii="Segoe UI Emoji" w:hAnsi="Segoe UI Emoji" w:cs="Segoe UI Emoji"/>
          <w:b/>
          <w:bCs/>
        </w:rPr>
      </w:pPr>
    </w:p>
    <w:p w14:paraId="77651DC6" w14:textId="77777777" w:rsidR="00923299" w:rsidRDefault="00923299" w:rsidP="002405C4">
      <w:pPr>
        <w:tabs>
          <w:tab w:val="left" w:pos="7650"/>
        </w:tabs>
        <w:rPr>
          <w:rFonts w:ascii="Segoe UI Emoji" w:hAnsi="Segoe UI Emoji" w:cs="Segoe UI Emoji"/>
          <w:b/>
          <w:bCs/>
        </w:rPr>
      </w:pPr>
    </w:p>
    <w:p w14:paraId="56B92D2B" w14:textId="77777777" w:rsidR="00923299" w:rsidRDefault="00923299" w:rsidP="002405C4">
      <w:pPr>
        <w:tabs>
          <w:tab w:val="left" w:pos="7650"/>
        </w:tabs>
        <w:rPr>
          <w:rFonts w:ascii="Segoe UI Emoji" w:hAnsi="Segoe UI Emoji" w:cs="Segoe UI Emoji"/>
          <w:b/>
          <w:bCs/>
        </w:rPr>
      </w:pPr>
    </w:p>
    <w:p w14:paraId="2E3F1BC8" w14:textId="77777777" w:rsidR="00923299" w:rsidRDefault="00923299" w:rsidP="002405C4">
      <w:pPr>
        <w:tabs>
          <w:tab w:val="left" w:pos="7650"/>
        </w:tabs>
        <w:rPr>
          <w:rFonts w:ascii="Segoe UI Emoji" w:hAnsi="Segoe UI Emoji" w:cs="Segoe UI Emoji"/>
          <w:b/>
          <w:bCs/>
        </w:rPr>
      </w:pPr>
    </w:p>
    <w:p w14:paraId="605B168C" w14:textId="77777777" w:rsidR="00923299" w:rsidRDefault="00923299" w:rsidP="002405C4">
      <w:pPr>
        <w:tabs>
          <w:tab w:val="left" w:pos="7650"/>
        </w:tabs>
        <w:rPr>
          <w:rFonts w:ascii="Segoe UI Emoji" w:hAnsi="Segoe UI Emoji" w:cs="Segoe UI Emoji"/>
          <w:b/>
          <w:bCs/>
        </w:rPr>
      </w:pPr>
    </w:p>
    <w:p w14:paraId="511E3B7C" w14:textId="77777777" w:rsidR="00923299" w:rsidRDefault="00923299" w:rsidP="002405C4">
      <w:pPr>
        <w:tabs>
          <w:tab w:val="left" w:pos="7650"/>
        </w:tabs>
        <w:rPr>
          <w:rFonts w:ascii="Segoe UI Emoji" w:hAnsi="Segoe UI Emoji" w:cs="Segoe UI Emoji"/>
          <w:b/>
          <w:bCs/>
        </w:rPr>
      </w:pPr>
    </w:p>
    <w:p w14:paraId="29CE4165" w14:textId="77777777" w:rsidR="00923299" w:rsidRDefault="00923299" w:rsidP="002405C4">
      <w:pPr>
        <w:tabs>
          <w:tab w:val="left" w:pos="7650"/>
        </w:tabs>
        <w:rPr>
          <w:rFonts w:ascii="Segoe UI Emoji" w:hAnsi="Segoe UI Emoji" w:cs="Segoe UI Emoji"/>
          <w:b/>
          <w:bCs/>
        </w:rPr>
      </w:pPr>
    </w:p>
    <w:p w14:paraId="2F7FF7AC" w14:textId="77777777" w:rsidR="00923299" w:rsidRDefault="00923299" w:rsidP="002405C4">
      <w:pPr>
        <w:tabs>
          <w:tab w:val="left" w:pos="7650"/>
        </w:tabs>
        <w:rPr>
          <w:rFonts w:ascii="Segoe UI Emoji" w:hAnsi="Segoe UI Emoji" w:cs="Segoe UI Emoji"/>
          <w:b/>
          <w:bCs/>
        </w:rPr>
      </w:pPr>
    </w:p>
    <w:p w14:paraId="3EF230A4" w14:textId="77777777" w:rsidR="00923299" w:rsidRDefault="00923299" w:rsidP="002405C4">
      <w:pPr>
        <w:tabs>
          <w:tab w:val="left" w:pos="7650"/>
        </w:tabs>
        <w:rPr>
          <w:rFonts w:ascii="Segoe UI Emoji" w:hAnsi="Segoe UI Emoji" w:cs="Segoe UI Emoji"/>
          <w:b/>
          <w:bCs/>
        </w:rPr>
      </w:pPr>
    </w:p>
    <w:p w14:paraId="4D153503" w14:textId="77777777" w:rsidR="0059010A" w:rsidRDefault="0059010A" w:rsidP="00923299">
      <w:pPr>
        <w:tabs>
          <w:tab w:val="left" w:pos="7650"/>
        </w:tabs>
        <w:rPr>
          <w:rFonts w:ascii="Segoe UI Emoji" w:hAnsi="Segoe UI Emoji" w:cs="Segoe UI Emoji"/>
          <w:b/>
          <w:bCs/>
        </w:rPr>
      </w:pPr>
    </w:p>
    <w:p w14:paraId="1EB6E59C" w14:textId="77777777" w:rsidR="00E837C4" w:rsidRDefault="00E837C4" w:rsidP="00923299">
      <w:pPr>
        <w:tabs>
          <w:tab w:val="left" w:pos="7650"/>
        </w:tabs>
        <w:rPr>
          <w:rFonts w:ascii="Segoe UI Emoji" w:hAnsi="Segoe UI Emoji" w:cs="Segoe UI Emoji"/>
          <w:b/>
          <w:bCs/>
        </w:rPr>
      </w:pPr>
    </w:p>
    <w:sectPr w:rsidR="00E83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11753" w14:textId="77777777" w:rsidR="00E43A9B" w:rsidRDefault="00E43A9B" w:rsidP="0065382D">
      <w:pPr>
        <w:spacing w:after="0" w:line="240" w:lineRule="auto"/>
      </w:pPr>
      <w:r>
        <w:separator/>
      </w:r>
    </w:p>
  </w:endnote>
  <w:endnote w:type="continuationSeparator" w:id="0">
    <w:p w14:paraId="29B5941F" w14:textId="77777777" w:rsidR="00E43A9B" w:rsidRDefault="00E43A9B" w:rsidP="0065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E64CC" w14:textId="77777777" w:rsidR="00E43A9B" w:rsidRDefault="00E43A9B" w:rsidP="0065382D">
      <w:pPr>
        <w:spacing w:after="0" w:line="240" w:lineRule="auto"/>
      </w:pPr>
      <w:r>
        <w:separator/>
      </w:r>
    </w:p>
  </w:footnote>
  <w:footnote w:type="continuationSeparator" w:id="0">
    <w:p w14:paraId="775A6E18" w14:textId="77777777" w:rsidR="00E43A9B" w:rsidRDefault="00E43A9B" w:rsidP="00653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DC5"/>
    <w:multiLevelType w:val="multilevel"/>
    <w:tmpl w:val="75B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5496"/>
    <w:multiLevelType w:val="multilevel"/>
    <w:tmpl w:val="AFE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C0683"/>
    <w:multiLevelType w:val="multilevel"/>
    <w:tmpl w:val="F54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042F3"/>
    <w:multiLevelType w:val="multilevel"/>
    <w:tmpl w:val="2E08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5B9A"/>
    <w:multiLevelType w:val="multilevel"/>
    <w:tmpl w:val="B844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A74C6"/>
    <w:multiLevelType w:val="multilevel"/>
    <w:tmpl w:val="306A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B142A"/>
    <w:multiLevelType w:val="multilevel"/>
    <w:tmpl w:val="982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F252B"/>
    <w:multiLevelType w:val="multilevel"/>
    <w:tmpl w:val="504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F21F9"/>
    <w:multiLevelType w:val="multilevel"/>
    <w:tmpl w:val="090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11CEA"/>
    <w:multiLevelType w:val="multilevel"/>
    <w:tmpl w:val="C2F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3228F"/>
    <w:multiLevelType w:val="multilevel"/>
    <w:tmpl w:val="131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E4E1C"/>
    <w:multiLevelType w:val="multilevel"/>
    <w:tmpl w:val="8A9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21EA"/>
    <w:multiLevelType w:val="multilevel"/>
    <w:tmpl w:val="A8F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20E68"/>
    <w:multiLevelType w:val="multilevel"/>
    <w:tmpl w:val="BBD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46020"/>
    <w:multiLevelType w:val="multilevel"/>
    <w:tmpl w:val="F4C0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73B57"/>
    <w:multiLevelType w:val="multilevel"/>
    <w:tmpl w:val="879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36DEA"/>
    <w:multiLevelType w:val="multilevel"/>
    <w:tmpl w:val="062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D2958"/>
    <w:multiLevelType w:val="multilevel"/>
    <w:tmpl w:val="7ED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76E5D"/>
    <w:multiLevelType w:val="multilevel"/>
    <w:tmpl w:val="5CEA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B591E"/>
    <w:multiLevelType w:val="multilevel"/>
    <w:tmpl w:val="391C6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D4A0F"/>
    <w:multiLevelType w:val="multilevel"/>
    <w:tmpl w:val="B8B4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B35CB"/>
    <w:multiLevelType w:val="multilevel"/>
    <w:tmpl w:val="DB8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1B4"/>
    <w:multiLevelType w:val="multilevel"/>
    <w:tmpl w:val="4B9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53AC6"/>
    <w:multiLevelType w:val="multilevel"/>
    <w:tmpl w:val="0AD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A051A"/>
    <w:multiLevelType w:val="multilevel"/>
    <w:tmpl w:val="B91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87DB3"/>
    <w:multiLevelType w:val="multilevel"/>
    <w:tmpl w:val="1158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A3DD9"/>
    <w:multiLevelType w:val="multilevel"/>
    <w:tmpl w:val="FE9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FA62CF"/>
    <w:multiLevelType w:val="multilevel"/>
    <w:tmpl w:val="E3A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C4B07"/>
    <w:multiLevelType w:val="multilevel"/>
    <w:tmpl w:val="0A6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36728"/>
    <w:multiLevelType w:val="multilevel"/>
    <w:tmpl w:val="5CC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572D7"/>
    <w:multiLevelType w:val="multilevel"/>
    <w:tmpl w:val="0956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074A81"/>
    <w:multiLevelType w:val="multilevel"/>
    <w:tmpl w:val="EB408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271E68"/>
    <w:multiLevelType w:val="multilevel"/>
    <w:tmpl w:val="7D4E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C00A2"/>
    <w:multiLevelType w:val="multilevel"/>
    <w:tmpl w:val="CCC2B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D66425"/>
    <w:multiLevelType w:val="multilevel"/>
    <w:tmpl w:val="604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07C6C"/>
    <w:multiLevelType w:val="multilevel"/>
    <w:tmpl w:val="F9D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80D6B"/>
    <w:multiLevelType w:val="multilevel"/>
    <w:tmpl w:val="EE3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FC12EE"/>
    <w:multiLevelType w:val="multilevel"/>
    <w:tmpl w:val="B8C4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A17A1"/>
    <w:multiLevelType w:val="multilevel"/>
    <w:tmpl w:val="4F64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70CEC"/>
    <w:multiLevelType w:val="multilevel"/>
    <w:tmpl w:val="E74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F94C69"/>
    <w:multiLevelType w:val="multilevel"/>
    <w:tmpl w:val="1B3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47933"/>
    <w:multiLevelType w:val="multilevel"/>
    <w:tmpl w:val="FDC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9A772B"/>
    <w:multiLevelType w:val="multilevel"/>
    <w:tmpl w:val="E27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F426A"/>
    <w:multiLevelType w:val="multilevel"/>
    <w:tmpl w:val="338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85C47"/>
    <w:multiLevelType w:val="multilevel"/>
    <w:tmpl w:val="C752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3B0C35"/>
    <w:multiLevelType w:val="multilevel"/>
    <w:tmpl w:val="EFD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6F112B"/>
    <w:multiLevelType w:val="multilevel"/>
    <w:tmpl w:val="AA2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1120A9"/>
    <w:multiLevelType w:val="multilevel"/>
    <w:tmpl w:val="3CA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CB7D38"/>
    <w:multiLevelType w:val="multilevel"/>
    <w:tmpl w:val="687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FF099C"/>
    <w:multiLevelType w:val="multilevel"/>
    <w:tmpl w:val="A96E5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523B6C"/>
    <w:multiLevelType w:val="multilevel"/>
    <w:tmpl w:val="DF5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2A7FEF"/>
    <w:multiLevelType w:val="multilevel"/>
    <w:tmpl w:val="8E2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A62CC2"/>
    <w:multiLevelType w:val="multilevel"/>
    <w:tmpl w:val="B566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06108B"/>
    <w:multiLevelType w:val="multilevel"/>
    <w:tmpl w:val="A96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901311"/>
    <w:multiLevelType w:val="multilevel"/>
    <w:tmpl w:val="5BD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055F92"/>
    <w:multiLevelType w:val="multilevel"/>
    <w:tmpl w:val="577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269223">
    <w:abstractNumId w:val="45"/>
  </w:num>
  <w:num w:numId="2" w16cid:durableId="1026760123">
    <w:abstractNumId w:val="25"/>
  </w:num>
  <w:num w:numId="3" w16cid:durableId="732196331">
    <w:abstractNumId w:val="21"/>
  </w:num>
  <w:num w:numId="4" w16cid:durableId="1474978854">
    <w:abstractNumId w:val="5"/>
  </w:num>
  <w:num w:numId="5" w16cid:durableId="718865886">
    <w:abstractNumId w:val="35"/>
  </w:num>
  <w:num w:numId="6" w16cid:durableId="1521090701">
    <w:abstractNumId w:val="55"/>
  </w:num>
  <w:num w:numId="7" w16cid:durableId="1104838573">
    <w:abstractNumId w:val="32"/>
  </w:num>
  <w:num w:numId="8" w16cid:durableId="2087216954">
    <w:abstractNumId w:val="47"/>
  </w:num>
  <w:num w:numId="9" w16cid:durableId="833032137">
    <w:abstractNumId w:val="49"/>
  </w:num>
  <w:num w:numId="10" w16cid:durableId="1242329869">
    <w:abstractNumId w:val="26"/>
  </w:num>
  <w:num w:numId="11" w16cid:durableId="1591043697">
    <w:abstractNumId w:val="41"/>
  </w:num>
  <w:num w:numId="12" w16cid:durableId="1565097009">
    <w:abstractNumId w:val="40"/>
  </w:num>
  <w:num w:numId="13" w16cid:durableId="1846239349">
    <w:abstractNumId w:val="19"/>
  </w:num>
  <w:num w:numId="14" w16cid:durableId="1934899674">
    <w:abstractNumId w:val="17"/>
  </w:num>
  <w:num w:numId="15" w16cid:durableId="200047780">
    <w:abstractNumId w:val="1"/>
  </w:num>
  <w:num w:numId="16" w16cid:durableId="340819001">
    <w:abstractNumId w:val="53"/>
  </w:num>
  <w:num w:numId="17" w16cid:durableId="1517384421">
    <w:abstractNumId w:val="50"/>
  </w:num>
  <w:num w:numId="18" w16cid:durableId="41832486">
    <w:abstractNumId w:val="4"/>
  </w:num>
  <w:num w:numId="19" w16cid:durableId="678196487">
    <w:abstractNumId w:val="10"/>
  </w:num>
  <w:num w:numId="20" w16cid:durableId="1413695003">
    <w:abstractNumId w:val="39"/>
  </w:num>
  <w:num w:numId="21" w16cid:durableId="1403285881">
    <w:abstractNumId w:val="34"/>
  </w:num>
  <w:num w:numId="22" w16cid:durableId="1729375478">
    <w:abstractNumId w:val="52"/>
  </w:num>
  <w:num w:numId="23" w16cid:durableId="1836530401">
    <w:abstractNumId w:val="3"/>
  </w:num>
  <w:num w:numId="24" w16cid:durableId="121074421">
    <w:abstractNumId w:val="48"/>
  </w:num>
  <w:num w:numId="25" w16cid:durableId="97794897">
    <w:abstractNumId w:val="43"/>
  </w:num>
  <w:num w:numId="26" w16cid:durableId="1754737005">
    <w:abstractNumId w:val="42"/>
  </w:num>
  <w:num w:numId="27" w16cid:durableId="1589000262">
    <w:abstractNumId w:val="51"/>
  </w:num>
  <w:num w:numId="28" w16cid:durableId="275986943">
    <w:abstractNumId w:val="2"/>
  </w:num>
  <w:num w:numId="29" w16cid:durableId="1121850305">
    <w:abstractNumId w:val="20"/>
  </w:num>
  <w:num w:numId="30" w16cid:durableId="230360164">
    <w:abstractNumId w:val="29"/>
  </w:num>
  <w:num w:numId="31" w16cid:durableId="1940285110">
    <w:abstractNumId w:val="11"/>
  </w:num>
  <w:num w:numId="32" w16cid:durableId="348682105">
    <w:abstractNumId w:val="7"/>
  </w:num>
  <w:num w:numId="33" w16cid:durableId="495267152">
    <w:abstractNumId w:val="18"/>
  </w:num>
  <w:num w:numId="34" w16cid:durableId="629943389">
    <w:abstractNumId w:val="9"/>
  </w:num>
  <w:num w:numId="35" w16cid:durableId="607591591">
    <w:abstractNumId w:val="23"/>
  </w:num>
  <w:num w:numId="36" w16cid:durableId="1451314013">
    <w:abstractNumId w:val="38"/>
  </w:num>
  <w:num w:numId="37" w16cid:durableId="1180855690">
    <w:abstractNumId w:val="0"/>
  </w:num>
  <w:num w:numId="38" w16cid:durableId="1192232573">
    <w:abstractNumId w:val="15"/>
  </w:num>
  <w:num w:numId="39" w16cid:durableId="1422138524">
    <w:abstractNumId w:val="16"/>
  </w:num>
  <w:num w:numId="40" w16cid:durableId="805700514">
    <w:abstractNumId w:val="31"/>
  </w:num>
  <w:num w:numId="41" w16cid:durableId="1990984161">
    <w:abstractNumId w:val="13"/>
  </w:num>
  <w:num w:numId="42" w16cid:durableId="1918055644">
    <w:abstractNumId w:val="22"/>
  </w:num>
  <w:num w:numId="43" w16cid:durableId="2033142773">
    <w:abstractNumId w:val="8"/>
  </w:num>
  <w:num w:numId="44" w16cid:durableId="187526528">
    <w:abstractNumId w:val="28"/>
  </w:num>
  <w:num w:numId="45" w16cid:durableId="2139755962">
    <w:abstractNumId w:val="12"/>
  </w:num>
  <w:num w:numId="46" w16cid:durableId="544948227">
    <w:abstractNumId w:val="14"/>
  </w:num>
  <w:num w:numId="47" w16cid:durableId="194273858">
    <w:abstractNumId w:val="33"/>
  </w:num>
  <w:num w:numId="48" w16cid:durableId="980111819">
    <w:abstractNumId w:val="24"/>
  </w:num>
  <w:num w:numId="49" w16cid:durableId="1129473416">
    <w:abstractNumId w:val="37"/>
  </w:num>
  <w:num w:numId="50" w16cid:durableId="777529024">
    <w:abstractNumId w:val="36"/>
  </w:num>
  <w:num w:numId="51" w16cid:durableId="899438783">
    <w:abstractNumId w:val="27"/>
  </w:num>
  <w:num w:numId="52" w16cid:durableId="624585004">
    <w:abstractNumId w:val="54"/>
  </w:num>
  <w:num w:numId="53" w16cid:durableId="139426616">
    <w:abstractNumId w:val="44"/>
  </w:num>
  <w:num w:numId="54" w16cid:durableId="715547140">
    <w:abstractNumId w:val="30"/>
  </w:num>
  <w:num w:numId="55" w16cid:durableId="16350778">
    <w:abstractNumId w:val="6"/>
  </w:num>
  <w:num w:numId="56" w16cid:durableId="12739771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2F"/>
    <w:rsid w:val="000F0ED1"/>
    <w:rsid w:val="00171E27"/>
    <w:rsid w:val="001F3E16"/>
    <w:rsid w:val="002405C4"/>
    <w:rsid w:val="002E410B"/>
    <w:rsid w:val="00334BC3"/>
    <w:rsid w:val="003919D8"/>
    <w:rsid w:val="003C553C"/>
    <w:rsid w:val="003D53F9"/>
    <w:rsid w:val="00403D27"/>
    <w:rsid w:val="004D444B"/>
    <w:rsid w:val="00545355"/>
    <w:rsid w:val="0059010A"/>
    <w:rsid w:val="00597C7C"/>
    <w:rsid w:val="00601AF7"/>
    <w:rsid w:val="006034BD"/>
    <w:rsid w:val="006265D3"/>
    <w:rsid w:val="0065382D"/>
    <w:rsid w:val="00663E73"/>
    <w:rsid w:val="006736B1"/>
    <w:rsid w:val="006A3B0A"/>
    <w:rsid w:val="00722CF9"/>
    <w:rsid w:val="00756064"/>
    <w:rsid w:val="0077724D"/>
    <w:rsid w:val="00777385"/>
    <w:rsid w:val="00791C2B"/>
    <w:rsid w:val="007C7DD6"/>
    <w:rsid w:val="008143F3"/>
    <w:rsid w:val="008976C9"/>
    <w:rsid w:val="00923299"/>
    <w:rsid w:val="00927B2B"/>
    <w:rsid w:val="00974CD5"/>
    <w:rsid w:val="00A3102D"/>
    <w:rsid w:val="00AE70B1"/>
    <w:rsid w:val="00B65720"/>
    <w:rsid w:val="00B76E26"/>
    <w:rsid w:val="00B924E1"/>
    <w:rsid w:val="00C96ED5"/>
    <w:rsid w:val="00CC14E5"/>
    <w:rsid w:val="00CE44FE"/>
    <w:rsid w:val="00CE6A37"/>
    <w:rsid w:val="00CF75F4"/>
    <w:rsid w:val="00D340A0"/>
    <w:rsid w:val="00D35FD7"/>
    <w:rsid w:val="00D6711C"/>
    <w:rsid w:val="00D7726F"/>
    <w:rsid w:val="00DB39DE"/>
    <w:rsid w:val="00DD337B"/>
    <w:rsid w:val="00E0143B"/>
    <w:rsid w:val="00E43A9B"/>
    <w:rsid w:val="00E675EA"/>
    <w:rsid w:val="00E837C4"/>
    <w:rsid w:val="00EF0D2F"/>
    <w:rsid w:val="00F104DE"/>
    <w:rsid w:val="00FB320B"/>
    <w:rsid w:val="00FD3ABF"/>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AF9D"/>
  <w15:chartTrackingRefBased/>
  <w15:docId w15:val="{1FB526B5-9928-4412-923F-35D78180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2F"/>
  </w:style>
  <w:style w:type="paragraph" w:styleId="Heading1">
    <w:name w:val="heading 1"/>
    <w:basedOn w:val="Normal"/>
    <w:next w:val="Normal"/>
    <w:link w:val="Heading1Char"/>
    <w:uiPriority w:val="9"/>
    <w:qFormat/>
    <w:rsid w:val="00EF0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0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D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D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0D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0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0D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D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D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0D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D2F"/>
    <w:rPr>
      <w:rFonts w:eastAsiaTheme="majorEastAsia" w:cstheme="majorBidi"/>
      <w:color w:val="272727" w:themeColor="text1" w:themeTint="D8"/>
    </w:rPr>
  </w:style>
  <w:style w:type="paragraph" w:styleId="Title">
    <w:name w:val="Title"/>
    <w:basedOn w:val="Normal"/>
    <w:next w:val="Normal"/>
    <w:link w:val="TitleChar"/>
    <w:uiPriority w:val="10"/>
    <w:qFormat/>
    <w:rsid w:val="00EF0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0D2F"/>
    <w:rPr>
      <w:i/>
      <w:iCs/>
      <w:color w:val="404040" w:themeColor="text1" w:themeTint="BF"/>
    </w:rPr>
  </w:style>
  <w:style w:type="paragraph" w:styleId="ListParagraph">
    <w:name w:val="List Paragraph"/>
    <w:basedOn w:val="Normal"/>
    <w:uiPriority w:val="34"/>
    <w:qFormat/>
    <w:rsid w:val="00EF0D2F"/>
    <w:pPr>
      <w:ind w:left="720"/>
      <w:contextualSpacing/>
    </w:pPr>
  </w:style>
  <w:style w:type="character" w:styleId="IntenseEmphasis">
    <w:name w:val="Intense Emphasis"/>
    <w:basedOn w:val="DefaultParagraphFont"/>
    <w:uiPriority w:val="21"/>
    <w:qFormat/>
    <w:rsid w:val="00EF0D2F"/>
    <w:rPr>
      <w:i/>
      <w:iCs/>
      <w:color w:val="2F5496" w:themeColor="accent1" w:themeShade="BF"/>
    </w:rPr>
  </w:style>
  <w:style w:type="paragraph" w:styleId="IntenseQuote">
    <w:name w:val="Intense Quote"/>
    <w:basedOn w:val="Normal"/>
    <w:next w:val="Normal"/>
    <w:link w:val="IntenseQuoteChar"/>
    <w:uiPriority w:val="30"/>
    <w:qFormat/>
    <w:rsid w:val="00EF0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D2F"/>
    <w:rPr>
      <w:i/>
      <w:iCs/>
      <w:color w:val="2F5496" w:themeColor="accent1" w:themeShade="BF"/>
    </w:rPr>
  </w:style>
  <w:style w:type="character" w:styleId="IntenseReference">
    <w:name w:val="Intense Reference"/>
    <w:basedOn w:val="DefaultParagraphFont"/>
    <w:uiPriority w:val="32"/>
    <w:qFormat/>
    <w:rsid w:val="00EF0D2F"/>
    <w:rPr>
      <w:b/>
      <w:bCs/>
      <w:smallCaps/>
      <w:color w:val="2F5496" w:themeColor="accent1" w:themeShade="BF"/>
      <w:spacing w:val="5"/>
    </w:rPr>
  </w:style>
  <w:style w:type="paragraph" w:styleId="Header">
    <w:name w:val="header"/>
    <w:basedOn w:val="Normal"/>
    <w:link w:val="HeaderChar"/>
    <w:uiPriority w:val="99"/>
    <w:unhideWhenUsed/>
    <w:rsid w:val="0065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2D"/>
  </w:style>
  <w:style w:type="paragraph" w:styleId="Footer">
    <w:name w:val="footer"/>
    <w:basedOn w:val="Normal"/>
    <w:link w:val="FooterChar"/>
    <w:uiPriority w:val="99"/>
    <w:unhideWhenUsed/>
    <w:rsid w:val="0065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18</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Nnadi Samuel</dc:creator>
  <cp:keywords/>
  <dc:description/>
  <cp:lastModifiedBy>Nnadi Samuel</cp:lastModifiedBy>
  <cp:revision>11</cp:revision>
  <dcterms:created xsi:type="dcterms:W3CDTF">2025-08-22T20:26:00Z</dcterms:created>
  <dcterms:modified xsi:type="dcterms:W3CDTF">2025-08-27T17:34:00Z</dcterms:modified>
</cp:coreProperties>
</file>