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ki2jzzdnoa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Primeira Vez neste Curso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curso Introdução a Internet da Coisas 2.0 foi desenvolvido para pessoas que desejam explorar a ⁪Internet das Coisas e o impacto dela no nosso dia a dia. Não é objetivo deste curso ensinar sobre a IoT em profundidade, mas fornecer uma compreensão geral da IoT e como ela permite a digitalização de tarefas diárias.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saber mais, recomendamos que se inscreva em cursos adicionais de redes Cisco e em cursos relacionados a TI na sua instituição. Outros cursos de IoT que podem te interessar incluem: Connecting Things, Big Data e Analytics e IoT Security.  Você também pode estar interessado em cursos de CCNA e de segurança cibernética fornecidos pela Cisco Networking Academy.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página da Cisco Networking Academy no Facebook é onde você pode encontrar e interagir com outros alunos da Networking Academy de diferentes partes do mundo. Você poderá receber suporte peer to peer, se tiver dúvidas sobre a grade curricular.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testes e as avaliações podem ser acessados na seção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Módulos</w:t>
        </w:r>
      </w:hyperlink>
      <w:r w:rsidDel="00000000" w:rsidR="00000000" w:rsidRPr="00000000">
        <w:rPr>
          <w:rtl w:val="0"/>
        </w:rPr>
        <w:t xml:space="preserve"> do curso.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373583482.netacad.com/courses/946054/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