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left"/>
      </w:pPr>
      <w:r>
        <w:rPr>
          <w:b/>
          <w:color w:val="1B5FA6"/>
          <w:sz w:val="24"/>
        </w:rPr>
        <w:t>RELATÓRIO TÉCNICO</w:t>
      </w:r>
    </w:p>
    <w:p>
      <w:pPr>
        <w:spacing w:before="120" w:after="80"/>
      </w:pPr>
      <w:r>
        <w:rPr>
          <w:b/>
          <w:color w:val="16324A"/>
          <w:sz w:val="56"/>
        </w:rPr>
        <w:t>Modernização do Pipeline de</w:t>
        <w:br/>
        <w:t>Percepção Naval</w:t>
      </w:r>
    </w:p>
    <w:p>
      <w:pPr>
        <w:spacing w:after="800"/>
      </w:pPr>
      <w:r>
        <w:rPr>
          <w:i/>
          <w:color w:val="4C6B82"/>
          <w:sz w:val="25"/>
        </w:rPr>
        <w:t>Fusão de detecções, rastreamento, re-identificação e OCR: da arquitetura anunciada à arquitetura real — com testes de performance em 100 frames reais de 4 transmissões ao vivo distintas.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71"/>
          </w:tcPr>
          <w:p>
            <w:r>
              <w:rPr>
                <w:b/>
                <w:color w:val="4C6B82"/>
                <w:sz w:val="17"/>
              </w:rPr>
              <w:t>DATA</w:t>
            </w:r>
          </w:p>
        </w:tc>
        <w:tc>
          <w:tcPr>
            <w:tcW w:type="dxa" w:w="6236"/>
          </w:tcPr>
          <w:p>
            <w:r>
              <w:rPr>
                <w:color w:val="16324A"/>
                <w:sz w:val="20"/>
              </w:rPr>
              <w:t>30 de August de 2026</w:t>
            </w:r>
          </w:p>
        </w:tc>
      </w:tr>
      <w:tr>
        <w:tc>
          <w:tcPr>
            <w:tcW w:type="dxa" w:w="1871"/>
          </w:tcPr>
          <w:p>
            <w:r>
              <w:rPr>
                <w:b/>
                <w:color w:val="4C6B82"/>
                <w:sz w:val="17"/>
              </w:rPr>
              <w:t>ESCOPO</w:t>
            </w:r>
          </w:p>
        </w:tc>
        <w:tc>
          <w:tcPr>
            <w:tcW w:type="dxa" w:w="6236"/>
          </w:tcPr>
          <w:p>
            <w:r>
              <w:rPr>
                <w:color w:val="16324A"/>
                <w:sz w:val="20"/>
              </w:rPr>
              <w:t>Pipeline naval — fusão, rastreamento, Re-ID e OCR</w:t>
            </w:r>
          </w:p>
        </w:tc>
      </w:tr>
      <w:tr>
        <w:tc>
          <w:tcPr>
            <w:tcW w:type="dxa" w:w="1871"/>
          </w:tcPr>
          <w:p>
            <w:r>
              <w:rPr>
                <w:b/>
                <w:color w:val="4C6B82"/>
                <w:sz w:val="17"/>
              </w:rPr>
              <w:t>PRESET AVALIADO</w:t>
            </w:r>
          </w:p>
        </w:tc>
        <w:tc>
          <w:tcPr>
            <w:tcW w:type="dxa" w:w="6236"/>
          </w:tcPr>
          <w:p>
            <w:r>
              <w:rPr>
                <w:color w:val="16324A"/>
                <w:sz w:val="20"/>
              </w:rPr>
              <w:t>Arquitetura de Produção (pre_arch_production)</w:t>
            </w:r>
          </w:p>
        </w:tc>
      </w:tr>
      <w:tr>
        <w:tc>
          <w:tcPr>
            <w:tcW w:type="dxa" w:w="1871"/>
          </w:tcPr>
          <w:p>
            <w:r>
              <w:rPr>
                <w:b/>
                <w:color w:val="4C6B82"/>
                <w:sz w:val="17"/>
              </w:rPr>
              <w:t>MÉTODO DE TESTE</w:t>
            </w:r>
          </w:p>
        </w:tc>
        <w:tc>
          <w:tcPr>
            <w:tcW w:type="dxa" w:w="6236"/>
          </w:tcPr>
          <w:p>
            <w:r>
              <w:rPr>
                <w:color w:val="16324A"/>
                <w:sz w:val="20"/>
              </w:rPr>
              <w:t>100 frames reais, 4 transmissões ao vivo distintas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6324A"/>
          <w:sz w:val="36"/>
        </w:rPr>
        <w:t>Sumário Executivo</w:t>
      </w:r>
    </w:p>
    <w:p>
      <w:pPr>
        <w:spacing w:after="160"/>
      </w:pPr>
      <w:r>
        <w:rPr>
          <w:b w:val="0"/>
          <w:i w:val="0"/>
          <w:color w:val="16324A"/>
          <w:sz w:val="21"/>
        </w:rPr>
        <w:t>O preset “Arquitetura de Produção” do sistema de percepção naval se descrevia, há algumas versões, como uma fusão de quatro tecnologias: Weighted Box Fusion (WBF), rastreamento BoT-SORT, re-identificação por embeddings DINOv2 e leitura óptica (OCR) de números IMO no casco. Na prática, apenas uma dessas quatro peças rodava de fato no vídeo ao vivo — as outras três existiam como arquivo no repositório, sem nenhuma chamada de código as ativando.</w:t>
      </w:r>
    </w:p>
    <w:p>
      <w:pPr>
        <w:spacing w:after="160"/>
      </w:pPr>
      <w:r>
        <w:rPr>
          <w:b w:val="0"/>
          <w:i w:val="0"/>
          <w:color w:val="16324A"/>
          <w:sz w:val="21"/>
        </w:rPr>
        <w:t>Este relatório documenta a correção dessa distância entre o que o sistema dizia fazer e o que realmente fazia, e os testes de performance conduzidos depois — que, por sua vez, revelaram e permitiram corrigir um bug adicional: uma marca d'água de identificação da câmera sendo lida como se fosse o nome de uma embarcação.</w:t>
      </w:r>
    </w:p>
    <w:p>
      <w:pPr>
        <w:pStyle w:val="ListBullet"/>
        <w:spacing w:after="80"/>
        <w:ind w:left="340"/>
      </w:pPr>
      <w:r>
        <w:rPr>
          <w:b/>
          <w:color w:val="16324A"/>
          <w:sz w:val="21"/>
        </w:rPr>
        <w:t xml:space="preserve">Resultado principal — </w:t>
      </w:r>
      <w:r>
        <w:rPr>
          <w:color w:val="16324A"/>
          <w:sz w:val="21"/>
        </w:rPr>
        <w:t>Todos os quatro componentes citados no nome do preset agora rodam de verdade e foram verificados ao vivo.</w:t>
      </w:r>
    </w:p>
    <w:p>
      <w:pPr>
        <w:pStyle w:val="ListBullet"/>
        <w:spacing w:after="80"/>
        <w:ind w:left="340"/>
      </w:pPr>
      <w:r>
        <w:rPr>
          <w:b/>
          <w:color w:val="16324A"/>
          <w:sz w:val="21"/>
        </w:rPr>
        <w:t xml:space="preserve">Metodologia de teste — </w:t>
      </w:r>
      <w:r>
        <w:rPr>
          <w:color w:val="16324A"/>
          <w:sz w:val="21"/>
        </w:rPr>
        <w:t>100 frames reais de 4 transmissões (Santos, Galveston, um terminal noturno e Sydney) processados na configuração completa, medindo latência, estabilidade de detecção e uso de cada subsistema.</w:t>
      </w:r>
    </w:p>
    <w:p>
      <w:pPr>
        <w:pStyle w:val="ListBullet"/>
        <w:spacing w:after="80"/>
        <w:ind w:left="340"/>
      </w:pPr>
      <w:r>
        <w:rPr>
          <w:b/>
          <w:color w:val="16324A"/>
          <w:sz w:val="21"/>
        </w:rPr>
        <w:t xml:space="preserve">Achado dos testes — </w:t>
      </w:r>
      <w:r>
        <w:rPr>
          <w:color w:val="16324A"/>
          <w:sz w:val="21"/>
        </w:rPr>
        <w:t>Um falso-positivo real foi encontrado durante os testes (marca d'água lida como nome de barco) e corrigido antes deste relatório ser fechado — o teto de tamanho plausível de embarcação, que existia no código mas nunca era chamado, passou a ser aplicado.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6324A"/>
          <w:sz w:val="36"/>
        </w:rPr>
        <w:t>1. Contexto e Motivação</w:t>
      </w:r>
    </w:p>
    <w:p>
      <w:pPr>
        <w:spacing w:after="160"/>
      </w:pPr>
      <w:r>
        <w:rPr>
          <w:b w:val="0"/>
          <w:i w:val="0"/>
          <w:color w:val="16324A"/>
          <w:sz w:val="21"/>
        </w:rPr>
        <w:t>Ao longo do desenvolvimento deste sistema, ficou estabelecido um princípio central: nenhum dado deve ser apresentado como real quando não há um sinal de verdade por trás dele. Uma auditoria da arquitetura encontrou justamente o oposto em vários pontos — desde métricas de cena inteiramente inventadas em domínios não-navais, até o núcleo do próprio pipeline naval, cujo preset "de produção" prometia uma capacidade tecnológica que, na maior parte, não estava conectada ao código que realmente processa o vídeo.</w:t>
      </w:r>
    </w:p>
    <w:p>
      <w:pPr>
        <w:spacing w:after="160"/>
      </w:pPr>
      <w:r>
        <w:rPr>
          <w:b w:val="0"/>
          <w:i w:val="0"/>
          <w:color w:val="16324A"/>
          <w:sz w:val="21"/>
        </w:rPr>
        <w:t>Este documento cobre especificamente a correção do núcleo de detecção e rastreamento naval — o restante da auditoria de dados fabricados está registrado separadamente em docs/AUDITORIA_ARQUITETURA.md.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6324A"/>
          <w:sz w:val="36"/>
        </w:rPr>
        <w:t>2. Arquitetura Antiga vs. Nova</w:t>
      </w:r>
    </w:p>
    <w:p>
      <w:pPr>
        <w:spacing w:after="160"/>
      </w:pPr>
      <w:r>
        <w:rPr>
          <w:b w:val="0"/>
          <w:i/>
          <w:color w:val="4C6B82"/>
          <w:sz w:val="21"/>
        </w:rPr>
        <w:t>Os quatro estágios centrais do pipeline de detecção, antes e depois desta revisão.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28"/>
            <w:shd w:fill="1B5FA6"/>
          </w:tcPr>
          <w:p>
            <w:r/>
            <w:r>
              <w:rPr>
                <w:b/>
                <w:color w:val="FFFFFF"/>
                <w:sz w:val="19"/>
              </w:rPr>
              <w:t>Estágio</w:t>
            </w:r>
          </w:p>
        </w:tc>
        <w:tc>
          <w:tcPr>
            <w:tcW w:type="dxa" w:w="3061"/>
            <w:shd w:fill="1B5FA6"/>
          </w:tcPr>
          <w:p>
            <w:r/>
            <w:r>
              <w:rPr>
                <w:b/>
                <w:color w:val="FFFFFF"/>
                <w:sz w:val="19"/>
              </w:rPr>
              <w:t>Antes</w:t>
            </w:r>
          </w:p>
        </w:tc>
        <w:tc>
          <w:tcPr>
            <w:tcW w:type="dxa" w:w="3061"/>
            <w:shd w:fill="1B5FA6"/>
          </w:tcPr>
          <w:p>
            <w:r/>
            <w:r>
              <w:rPr>
                <w:b/>
                <w:color w:val="FFFFFF"/>
                <w:sz w:val="19"/>
              </w:rPr>
              <w:t>Depois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color w:val="16324A"/>
                <w:sz w:val="19"/>
              </w:rPr>
              <w:t>Fusão de caixas</w:t>
            </w:r>
          </w:p>
        </w:tc>
        <w:tc>
          <w:tcPr>
            <w:tcW w:type="dxa" w:w="3061"/>
          </w:tcPr>
          <w:p>
            <w:r/>
            <w:r>
              <w:rPr>
                <w:color w:val="16324A"/>
                <w:sz w:val="19"/>
              </w:rPr>
              <w:t>Descarte por sobreposição (NMS guloso): entre duas caixas concorrentes, ficava só a de maior confiança; a evidência da outra se perdia por inteiro.</w:t>
            </w:r>
          </w:p>
        </w:tc>
        <w:tc>
          <w:tcPr>
            <w:tcW w:type="dxa" w:w="3061"/>
          </w:tcPr>
          <w:p>
            <w:r/>
            <w:r>
              <w:rPr>
                <w:color w:val="16324A"/>
                <w:sz w:val="19"/>
              </w:rPr>
              <w:t>Weighted Box Fusion real: caixas concordantes de detectores diferentes se combinam numa só, ponderadas por confiança e por fonte — a evidência soma.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color w:val="16324A"/>
                <w:sz w:val="19"/>
              </w:rPr>
              <w:t>Continuidade entre frames</w:t>
            </w:r>
          </w:p>
        </w:tc>
        <w:tc>
          <w:tcPr>
            <w:tcW w:type="dxa" w:w="3061"/>
          </w:tcPr>
          <w:p>
            <w:r/>
            <w:r>
              <w:rPr>
                <w:color w:val="16324A"/>
                <w:sz w:val="19"/>
              </w:rPr>
              <w:t>Reforço só por raio fixo: posição atual perto de onde um barco estava no frame anterior ganhava bônus. Sem previsão de movimento, sem aparência.</w:t>
            </w:r>
          </w:p>
        </w:tc>
        <w:tc>
          <w:tcPr>
            <w:tcW w:type="dxa" w:w="3061"/>
          </w:tcPr>
          <w:p>
            <w:r/>
            <w:r>
              <w:rPr>
                <w:color w:val="16324A"/>
                <w:sz w:val="19"/>
              </w:rPr>
              <w:t>BoT-SORT: filtro de Kalman prediz a posição esperada; o custo de associação combina essa previsão com a similaridade real de aparência (embedding).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color w:val="16324A"/>
                <w:sz w:val="19"/>
              </w:rPr>
              <w:t>Re-identificação</w:t>
            </w:r>
          </w:p>
        </w:tc>
        <w:tc>
          <w:tcPr>
            <w:tcW w:type="dxa" w:w="3061"/>
          </w:tcPr>
          <w:p>
            <w:r/>
            <w:r>
              <w:rPr>
                <w:color w:val="16324A"/>
                <w:sz w:val="19"/>
              </w:rPr>
              <w:t>Comparação de nome de cor dominante ("Azul" == "Azul"). Sem memória visual de fato; nada sobrevivia a um reinício do servidor.</w:t>
            </w:r>
          </w:p>
        </w:tc>
        <w:tc>
          <w:tcPr>
            <w:tcW w:type="dxa" w:w="3061"/>
          </w:tcPr>
          <w:p>
            <w:r/>
            <w:r>
              <w:rPr>
                <w:color w:val="16324A"/>
                <w:sz w:val="19"/>
              </w:rPr>
              <w:t>Embedding DINOv2 (384D) por embarcação; similaridade de cosseno decide identidade. Galeria SQLite+HNSW persiste entre reinícios.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color w:val="16324A"/>
                <w:sz w:val="19"/>
              </w:rPr>
              <w:t>Leitura de casco (OCR)</w:t>
            </w:r>
          </w:p>
        </w:tc>
        <w:tc>
          <w:tcPr>
            <w:tcW w:type="dxa" w:w="3061"/>
          </w:tcPr>
          <w:p>
            <w:r/>
            <w:r>
              <w:rPr>
                <w:color w:val="16324A"/>
                <w:sz w:val="19"/>
              </w:rPr>
              <w:t>OCR já rodava nos bastidores, mas o botão de ligar/desligar não tinha efeito, e um erro de campo escondia toda leitura real da tela.</w:t>
            </w:r>
          </w:p>
        </w:tc>
        <w:tc>
          <w:tcPr>
            <w:tcW w:type="dxa" w:w="3061"/>
          </w:tcPr>
          <w:p>
            <w:r/>
            <w:r>
              <w:rPr>
                <w:color w:val="16324A"/>
                <w:sz w:val="19"/>
              </w:rPr>
              <w:t>Mesmo motor (EasyOCR + validação de dígito verificador oficial do IMO); toggle agora efetivo e leituras reais chegam à interface.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rFonts w:ascii="Calibri" w:hAnsi="Calibri"/>
          <w:b/>
          <w:color w:val="16324A"/>
          <w:sz w:val="36"/>
        </w:rPr>
        <w:t>3. Transparência: o que passou a ser visível</w:t>
      </w:r>
    </w:p>
    <w:p>
      <w:pPr>
        <w:spacing w:after="160"/>
      </w:pPr>
      <w:r>
        <w:rPr>
          <w:b w:val="0"/>
          <w:i/>
          <w:color w:val="4C6B82"/>
          <w:sz w:val="21"/>
        </w:rPr>
        <w:t>Cada embarcação agora expõe de onde vem a confiança do sistema nela — não apenas um número.</w:t>
      </w:r>
    </w:p>
    <w:p>
      <w:pPr>
        <w:pStyle w:val="ListBullet"/>
        <w:spacing w:after="80"/>
        <w:ind w:left="340"/>
      </w:pPr>
      <w:r>
        <w:rPr>
          <w:b/>
          <w:color w:val="16324A"/>
          <w:sz w:val="21"/>
        </w:rPr>
        <w:t xml:space="preserve">fontes_detectoras — </w:t>
      </w:r>
      <w:r>
        <w:rPr>
          <w:color w:val="16324A"/>
          <w:sz w:val="21"/>
        </w:rPr>
        <w:t>Quais detectores concordaram nesta caixa (evidência combinada, não um único modelo).</w:t>
      </w:r>
    </w:p>
    <w:p>
      <w:pPr>
        <w:pStyle w:val="ListBullet"/>
        <w:spacing w:after="80"/>
        <w:ind w:left="340"/>
      </w:pPr>
      <w:r>
        <w:rPr>
          <w:b/>
          <w:color w:val="16324A"/>
          <w:sz w:val="21"/>
        </w:rPr>
        <w:t xml:space="preserve">reforcado_por_botsort — </w:t>
      </w:r>
      <w:r>
        <w:rPr>
          <w:color w:val="16324A"/>
          <w:sz w:val="21"/>
        </w:rPr>
        <w:t>Se o filtro de Kalman confirmou continuidade real com o frame anterior.</w:t>
      </w:r>
    </w:p>
    <w:p>
      <w:pPr>
        <w:pStyle w:val="ListBullet"/>
        <w:spacing w:after="80"/>
        <w:ind w:left="340"/>
      </w:pPr>
      <w:r>
        <w:rPr>
          <w:b/>
          <w:color w:val="16324A"/>
          <w:sz w:val="21"/>
        </w:rPr>
        <w:t xml:space="preserve">reid_embedding_ativo — </w:t>
      </w:r>
      <w:r>
        <w:rPr>
          <w:color w:val="16324A"/>
          <w:sz w:val="21"/>
        </w:rPr>
        <w:t>Se existe um vetor DINOv2 real por trás desta identidade.</w:t>
      </w:r>
    </w:p>
    <w:p>
      <w:pPr>
        <w:pStyle w:val="ListBullet"/>
        <w:spacing w:after="80"/>
        <w:ind w:left="340"/>
      </w:pPr>
      <w:r>
        <w:rPr>
          <w:b/>
          <w:color w:val="16324A"/>
          <w:sz w:val="21"/>
        </w:rPr>
        <w:t xml:space="preserve">reid_gallery_match — </w:t>
      </w:r>
      <w:r>
        <w:rPr>
          <w:color w:val="16324A"/>
          <w:sz w:val="21"/>
        </w:rPr>
        <w:t>Similaridade de cosseno com uma embarcação já vista antes, se houver.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6324A"/>
          <w:sz w:val="36"/>
        </w:rPr>
        <w:t>4. Metodologia dos Testes de Performance</w:t>
      </w:r>
    </w:p>
    <w:p>
      <w:pPr>
        <w:spacing w:after="160"/>
      </w:pPr>
      <w:r>
        <w:rPr>
          <w:b w:val="0"/>
          <w:i w:val="0"/>
          <w:color w:val="16324A"/>
          <w:sz w:val="21"/>
        </w:rPr>
        <w:t>Para verificar como o pipeline completo se comporta em condições reais — não apenas em uma imagem sintética ou repetida — foram capturados 25 frames de cada uma de 4 transmissões ao vivo do YouTube, deliberadamente distintas em iluminação, ângulo de câmera e densidade de tráfego: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shd w:fill="1B5FA6"/>
          </w:tcPr>
          <w:p>
            <w:r/>
            <w:r>
              <w:rPr>
                <w:b/>
                <w:color w:val="FFFFFF"/>
                <w:sz w:val="19"/>
              </w:rPr>
              <w:t>Fonte</w:t>
            </w:r>
          </w:p>
        </w:tc>
        <w:tc>
          <w:tcPr>
            <w:tcW w:type="dxa" w:w="4252"/>
            <w:shd w:fill="1B5FA6"/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1984"/>
            <w:shd w:fill="1B5FA6"/>
          </w:tcPr>
          <w:p>
            <w:r/>
            <w:r>
              <w:rPr>
                <w:b/>
                <w:color w:val="FFFFFF"/>
                <w:sz w:val="19"/>
              </w:rPr>
              <w:t>Condição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color w:val="16324A"/>
                <w:sz w:val="19"/>
              </w:rPr>
              <w:t>Porto de Santos</w:t>
            </w:r>
          </w:p>
        </w:tc>
        <w:tc>
          <w:tcPr>
            <w:tcW w:type="dxa" w:w="4252"/>
          </w:tcPr>
          <w:p>
            <w:r/>
            <w:r>
              <w:rPr>
                <w:color w:val="16324A"/>
                <w:sz w:val="19"/>
              </w:rPr>
              <w:t>Câmera padrão do sistema, vista aérea elevada do canal</w:t>
            </w:r>
          </w:p>
        </w:tc>
        <w:tc>
          <w:tcPr>
            <w:tcW w:type="dxa" w:w="1984"/>
          </w:tcPr>
          <w:p>
            <w:r/>
            <w:r>
              <w:rPr>
                <w:color w:val="16324A"/>
                <w:sz w:val="19"/>
              </w:rPr>
              <w:t>Diurno, alta densidade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color w:val="16324A"/>
                <w:sz w:val="19"/>
              </w:rPr>
              <w:t>Galveston, TX</w:t>
            </w:r>
          </w:p>
        </w:tc>
        <w:tc>
          <w:tcPr>
            <w:tcW w:type="dxa" w:w="4252"/>
          </w:tcPr>
          <w:p>
            <w:r/>
            <w:r>
              <w:rPr>
                <w:color w:val="16324A"/>
                <w:sz w:val="19"/>
              </w:rPr>
              <w:t>Câmera de porto com obstrução parcial (mastro/bandeira)</w:t>
            </w:r>
          </w:p>
        </w:tc>
        <w:tc>
          <w:tcPr>
            <w:tcW w:type="dxa" w:w="1984"/>
          </w:tcPr>
          <w:p>
            <w:r/>
            <w:r>
              <w:rPr>
                <w:color w:val="16324A"/>
                <w:sz w:val="19"/>
              </w:rPr>
              <w:t>Pôr do sol, baixo contraste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color w:val="16324A"/>
                <w:sz w:val="19"/>
              </w:rPr>
              <w:t>Terminal industrial</w:t>
            </w:r>
          </w:p>
        </w:tc>
        <w:tc>
          <w:tcPr>
            <w:tcW w:type="dxa" w:w="4252"/>
          </w:tcPr>
          <w:p>
            <w:r/>
            <w:r>
              <w:rPr>
                <w:color w:val="16324A"/>
                <w:sz w:val="19"/>
              </w:rPr>
              <w:t>Vista de canal com chaminés e embarcações atracadas</w:t>
            </w:r>
          </w:p>
        </w:tc>
        <w:tc>
          <w:tcPr>
            <w:tcW w:type="dxa" w:w="1984"/>
          </w:tcPr>
          <w:p>
            <w:r/>
            <w:r>
              <w:rPr>
                <w:color w:val="16324A"/>
                <w:sz w:val="19"/>
              </w:rPr>
              <w:t>Noturno, luzes artificiais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color w:val="16324A"/>
                <w:sz w:val="19"/>
              </w:rPr>
              <w:t>Porto de Sydney</w:t>
            </w:r>
          </w:p>
        </w:tc>
        <w:tc>
          <w:tcPr>
            <w:tcW w:type="dxa" w:w="4252"/>
          </w:tcPr>
          <w:p>
            <w:r/>
            <w:r>
              <w:rPr>
                <w:color w:val="16324A"/>
                <w:sz w:val="19"/>
              </w:rPr>
              <w:t>Vista panorâmica larga da baía e ponte</w:t>
            </w:r>
          </w:p>
        </w:tc>
        <w:tc>
          <w:tcPr>
            <w:tcW w:type="dxa" w:w="1984"/>
          </w:tcPr>
          <w:p>
            <w:r/>
            <w:r>
              <w:rPr>
                <w:color w:val="16324A"/>
                <w:sz w:val="19"/>
              </w:rPr>
              <w:t>Diurno, embarcações pequenas e distantes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color w:val="16324A"/>
          <w:sz w:val="21"/>
        </w:rPr>
        <w:t>Cada um dos 100 frames foi processado pela configuração completa de produção (WBF + BoT-SORT + DINOv2 Re-ID + OCR, todos ativos), medindo o tempo de processamento por frame, o número de embarcações detectadas e confirmadas, e o uso de cada subsistema — em CPU, sem aceleração por GPU.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6324A"/>
          <w:sz w:val="36"/>
        </w:rPr>
        <w:t>5. Resultados</w:t>
      </w:r>
    </w:p>
    <w:p>
      <w:pPr>
        <w:spacing w:after="160"/>
      </w:pPr>
      <w:r>
        <w:rPr>
          <w:b w:val="0"/>
          <w:i w:val="0"/>
          <w:color w:val="16324A"/>
          <w:sz w:val="21"/>
        </w:rPr>
        <w:t>No total, 100 frames foram processados em 369 segundos de execução. A latência média por frame foi de 3.7s (mediana 3.4s, p95 de 6.1s), equivalente a 0.27 quadros por segundo em média — um custo real de rodar Re-ID e OCR por embarcação, por frame, em CPU.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2381"/>
            <w:shd w:fill="1B5FA6"/>
          </w:tcPr>
          <w:p>
            <w:r/>
            <w:r>
              <w:rPr>
                <w:b/>
                <w:color w:val="FFFFFF"/>
                <w:sz w:val="19"/>
              </w:rPr>
              <w:t>Fonte</w:t>
            </w:r>
          </w:p>
        </w:tc>
        <w:tc>
          <w:tcPr>
            <w:tcW w:type="dxa" w:w="1304"/>
            <w:shd w:fill="1B5FA6"/>
          </w:tcPr>
          <w:p>
            <w:r/>
            <w:r>
              <w:rPr>
                <w:b/>
                <w:color w:val="FFFFFF"/>
                <w:sz w:val="19"/>
              </w:rPr>
              <w:t>Latência média</w:t>
            </w:r>
          </w:p>
        </w:tc>
        <w:tc>
          <w:tcPr>
            <w:tcW w:type="dxa" w:w="1247"/>
            <w:shd w:fill="1B5FA6"/>
          </w:tcPr>
          <w:p>
            <w:r/>
            <w:r>
              <w:rPr>
                <w:b/>
                <w:color w:val="FFFFFF"/>
                <w:sz w:val="19"/>
              </w:rPr>
              <w:t>Latência p95</w:t>
            </w:r>
          </w:p>
        </w:tc>
        <w:tc>
          <w:tcPr>
            <w:tcW w:type="dxa" w:w="1304"/>
            <w:shd w:fill="1B5FA6"/>
          </w:tcPr>
          <w:p>
            <w:r/>
            <w:r>
              <w:rPr>
                <w:b/>
                <w:color w:val="FFFFFF"/>
                <w:sz w:val="19"/>
              </w:rPr>
              <w:t>Detecções (méd.)</w:t>
            </w:r>
          </w:p>
        </w:tc>
        <w:tc>
          <w:tcPr>
            <w:tcW w:type="dxa" w:w="1304"/>
            <w:shd w:fill="1B5FA6"/>
          </w:tcPr>
          <w:p>
            <w:r/>
            <w:r>
              <w:rPr>
                <w:b/>
                <w:color w:val="FFFFFF"/>
                <w:sz w:val="19"/>
              </w:rPr>
              <w:t>Máx. simultâneas</w:t>
            </w:r>
          </w:p>
        </w:tc>
        <w:tc>
          <w:tcPr>
            <w:tcW w:type="dxa" w:w="1531"/>
            <w:shd w:fill="1B5FA6"/>
          </w:tcPr>
          <w:p>
            <w:r/>
            <w:r>
              <w:rPr>
                <w:b/>
                <w:color w:val="FFFFFF"/>
                <w:sz w:val="19"/>
              </w:rPr>
              <w:t>Confirmadas BoT-SORT (méd.)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color w:val="16324A"/>
                <w:sz w:val="19"/>
              </w:rPr>
              <w:t>Galveston, TX (câmera de porto ao pôr do sol)</w:t>
            </w:r>
          </w:p>
        </w:tc>
        <w:tc>
          <w:tcPr>
            <w:tcW w:type="dxa" w:w="1304"/>
          </w:tcPr>
          <w:p>
            <w:r/>
            <w:r>
              <w:rPr>
                <w:color w:val="16324A"/>
                <w:sz w:val="19"/>
              </w:rPr>
              <w:t>3.5s</w:t>
            </w:r>
          </w:p>
        </w:tc>
        <w:tc>
          <w:tcPr>
            <w:tcW w:type="dxa" w:w="1247"/>
          </w:tcPr>
          <w:p>
            <w:r/>
            <w:r>
              <w:rPr>
                <w:color w:val="16324A"/>
                <w:sz w:val="19"/>
              </w:rPr>
              <w:t>5.0s</w:t>
            </w:r>
          </w:p>
        </w:tc>
        <w:tc>
          <w:tcPr>
            <w:tcW w:type="dxa" w:w="1304"/>
          </w:tcPr>
          <w:p>
            <w:r/>
            <w:r>
              <w:rPr>
                <w:color w:val="16324A"/>
                <w:sz w:val="19"/>
              </w:rPr>
              <w:t>1.0</w:t>
            </w:r>
          </w:p>
        </w:tc>
        <w:tc>
          <w:tcPr>
            <w:tcW w:type="dxa" w:w="1304"/>
          </w:tcPr>
          <w:p>
            <w:r/>
            <w:r>
              <w:rPr>
                <w:color w:val="16324A"/>
                <w:sz w:val="19"/>
              </w:rPr>
              <w:t>1</w:t>
            </w:r>
          </w:p>
        </w:tc>
        <w:tc>
          <w:tcPr>
            <w:tcW w:type="dxa" w:w="1531"/>
          </w:tcPr>
          <w:p>
            <w:r/>
            <w:r>
              <w:rPr>
                <w:color w:val="16324A"/>
                <w:sz w:val="19"/>
              </w:rPr>
              <w:t>1.0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color w:val="16324A"/>
                <w:sz w:val="19"/>
              </w:rPr>
              <w:t>Porto de Santos (feed padrão)</w:t>
            </w:r>
          </w:p>
        </w:tc>
        <w:tc>
          <w:tcPr>
            <w:tcW w:type="dxa" w:w="1304"/>
          </w:tcPr>
          <w:p>
            <w:r/>
            <w:r>
              <w:rPr>
                <w:color w:val="16324A"/>
                <w:sz w:val="19"/>
              </w:rPr>
              <w:t>3.5s</w:t>
            </w:r>
          </w:p>
        </w:tc>
        <w:tc>
          <w:tcPr>
            <w:tcW w:type="dxa" w:w="1247"/>
          </w:tcPr>
          <w:p>
            <w:r/>
            <w:r>
              <w:rPr>
                <w:color w:val="16324A"/>
                <w:sz w:val="19"/>
              </w:rPr>
              <w:t>5.4s</w:t>
            </w:r>
          </w:p>
        </w:tc>
        <w:tc>
          <w:tcPr>
            <w:tcW w:type="dxa" w:w="1304"/>
          </w:tcPr>
          <w:p>
            <w:r/>
            <w:r>
              <w:rPr>
                <w:color w:val="16324A"/>
                <w:sz w:val="19"/>
              </w:rPr>
              <w:t>11.5</w:t>
            </w:r>
          </w:p>
        </w:tc>
        <w:tc>
          <w:tcPr>
            <w:tcW w:type="dxa" w:w="1304"/>
          </w:tcPr>
          <w:p>
            <w:r/>
            <w:r>
              <w:rPr>
                <w:color w:val="16324A"/>
                <w:sz w:val="19"/>
              </w:rPr>
              <w:t>14</w:t>
            </w:r>
          </w:p>
        </w:tc>
        <w:tc>
          <w:tcPr>
            <w:tcW w:type="dxa" w:w="1531"/>
          </w:tcPr>
          <w:p>
            <w:r/>
            <w:r>
              <w:rPr>
                <w:color w:val="16324A"/>
                <w:sz w:val="19"/>
              </w:rPr>
              <w:t>10.1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color w:val="16324A"/>
                <w:sz w:val="19"/>
              </w:rPr>
              <w:t>Terminal industrial noturno</w:t>
            </w:r>
          </w:p>
        </w:tc>
        <w:tc>
          <w:tcPr>
            <w:tcW w:type="dxa" w:w="1304"/>
          </w:tcPr>
          <w:p>
            <w:r/>
            <w:r>
              <w:rPr>
                <w:color w:val="16324A"/>
                <w:sz w:val="19"/>
              </w:rPr>
              <w:t>3.2s</w:t>
            </w:r>
          </w:p>
        </w:tc>
        <w:tc>
          <w:tcPr>
            <w:tcW w:type="dxa" w:w="1247"/>
          </w:tcPr>
          <w:p>
            <w:r/>
            <w:r>
              <w:rPr>
                <w:color w:val="16324A"/>
                <w:sz w:val="19"/>
              </w:rPr>
              <w:t>5.0s</w:t>
            </w:r>
          </w:p>
        </w:tc>
        <w:tc>
          <w:tcPr>
            <w:tcW w:type="dxa" w:w="1304"/>
          </w:tcPr>
          <w:p>
            <w:r/>
            <w:r>
              <w:rPr>
                <w:color w:val="16324A"/>
                <w:sz w:val="19"/>
              </w:rPr>
              <w:t>7.1</w:t>
            </w:r>
          </w:p>
        </w:tc>
        <w:tc>
          <w:tcPr>
            <w:tcW w:type="dxa" w:w="1304"/>
          </w:tcPr>
          <w:p>
            <w:r/>
            <w:r>
              <w:rPr>
                <w:color w:val="16324A"/>
                <w:sz w:val="19"/>
              </w:rPr>
              <w:t>10</w:t>
            </w:r>
          </w:p>
        </w:tc>
        <w:tc>
          <w:tcPr>
            <w:tcW w:type="dxa" w:w="1531"/>
          </w:tcPr>
          <w:p>
            <w:r/>
            <w:r>
              <w:rPr>
                <w:color w:val="16324A"/>
                <w:sz w:val="19"/>
              </w:rPr>
              <w:t>6.5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color w:val="16324A"/>
                <w:sz w:val="19"/>
              </w:rPr>
              <w:t>Porto de Sydney (visão panorâmica diurna)</w:t>
            </w:r>
          </w:p>
        </w:tc>
        <w:tc>
          <w:tcPr>
            <w:tcW w:type="dxa" w:w="1304"/>
          </w:tcPr>
          <w:p>
            <w:r/>
            <w:r>
              <w:rPr>
                <w:color w:val="16324A"/>
                <w:sz w:val="19"/>
              </w:rPr>
              <w:t>4.5s</w:t>
            </w:r>
          </w:p>
        </w:tc>
        <w:tc>
          <w:tcPr>
            <w:tcW w:type="dxa" w:w="1247"/>
          </w:tcPr>
          <w:p>
            <w:r/>
            <w:r>
              <w:rPr>
                <w:color w:val="16324A"/>
                <w:sz w:val="19"/>
              </w:rPr>
              <w:t>6.6s</w:t>
            </w:r>
          </w:p>
        </w:tc>
        <w:tc>
          <w:tcPr>
            <w:tcW w:type="dxa" w:w="1304"/>
          </w:tcPr>
          <w:p>
            <w:r/>
            <w:r>
              <w:rPr>
                <w:color w:val="16324A"/>
                <w:sz w:val="19"/>
              </w:rPr>
              <w:t>10.1</w:t>
            </w:r>
          </w:p>
        </w:tc>
        <w:tc>
          <w:tcPr>
            <w:tcW w:type="dxa" w:w="1304"/>
          </w:tcPr>
          <w:p>
            <w:r/>
            <w:r>
              <w:rPr>
                <w:color w:val="16324A"/>
                <w:sz w:val="19"/>
              </w:rPr>
              <w:t>12</w:t>
            </w:r>
          </w:p>
        </w:tc>
        <w:tc>
          <w:tcPr>
            <w:tcW w:type="dxa" w:w="1531"/>
          </w:tcPr>
          <w:p>
            <w:r/>
            <w:r>
              <w:rPr>
                <w:color w:val="16324A"/>
                <w:sz w:val="19"/>
              </w:rPr>
              <w:t>9.5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color w:val="4C6B82"/>
          <w:sz w:val="20"/>
        </w:rPr>
        <w:t>A latência varia fortemente com o número de embarcações na cena: Sydney e Santos, com mais tráfego, custam mais por frame porque cada embarcação adicional soma seu próprio cálculo de embedding e sua própria tentativa de OCR. O terminal noturno, apesar da cena visualmente mais difícil, teve menos embarcações simultâneas e por isso processou mais rápido.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6324A"/>
          <w:sz w:val="36"/>
        </w:rPr>
        <w:t>6. Achado Durante os Testes: Marca D'água Lida como Nome de Barco</w:t>
      </w:r>
    </w:p>
    <w:p>
      <w:pPr>
        <w:spacing w:after="160"/>
      </w:pPr>
      <w:r>
        <w:rPr>
          <w:b w:val="0"/>
          <w:i w:val="0"/>
          <w:color w:val="16324A"/>
          <w:sz w:val="21"/>
        </w:rPr>
        <w:t>A primeira rodada de testes com o vídeo de Galveston reportou 25 de 25 frames com "leitura de OCR válida" — um número suspeito para uma cena majoritariamente obstruída por um mastro. A investigação encontrou a causa: uma caixa de detecção cobrindo a faixa inferior do quadro — onde fica a identificação visual fixa da transmissão (nome do canal, cidade, data/hora) — tocava água real o suficiente para passar no filtro de segmentação de água, mesmo sem ser um casco.</w:t>
      </w:r>
    </w:p>
    <w:p>
      <w:pPr>
        <w:spacing w:after="160"/>
      </w:pPr>
      <w:r>
        <w:rPr>
          <w:b w:val="0"/>
          <w:i w:val="0"/>
          <w:color w:val="16324A"/>
          <w:sz w:val="21"/>
        </w:rPr>
        <w:t>O OCR então leu o texto do overlay da transmissão e produziu um "nome de embarcação" fabricado a partir da marca d'água (“WINDGW”, leitura distorcida de “WINDOW SEAT”, o nome do canal). A função is_plausible_vessel_size(), que já existia no código para rejeitar caixas maiores que o plausível para uma única embarcação, nunca era chamada no filtro do pipeline atual — por isso a caixa (742px de largura, acima do teto de 650px) nunca era barrada.</w:t>
      </w:r>
    </w:p>
    <w:p>
      <w:pPr>
        <w:spacing w:after="160"/>
      </w:pPr>
      <w:r>
        <w:rPr>
          <w:b w:val="0"/>
          <w:i w:val="0"/>
          <w:color w:val="16324A"/>
          <w:sz w:val="21"/>
        </w:rPr>
        <w:t>Correção aplicada: a chamada a is_plausible_vessel_size() foi restaurada no filtro de candidatos, antes de qualquer OCR ou rastreamento rodar sobre eles. Os 100 frames foram reprocessados do zero após a correção, para medir o efeito real — não só confirmar que o bug sumiu.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shd w:fill="1B5FA6"/>
          </w:tcPr>
          <w:p>
            <w:r/>
            <w:r>
              <w:rPr>
                <w:b/>
                <w:color w:val="FFFFFF"/>
                <w:sz w:val="19"/>
              </w:rPr>
              <w:t>Métrica (100 frames)</w:t>
            </w:r>
          </w:p>
        </w:tc>
        <w:tc>
          <w:tcPr>
            <w:tcW w:type="dxa" w:w="2665"/>
            <w:shd w:fill="1B5FA6"/>
          </w:tcPr>
          <w:p>
            <w:r/>
            <w:r>
              <w:rPr>
                <w:b/>
                <w:color w:val="FFFFFF"/>
                <w:sz w:val="19"/>
              </w:rPr>
              <w:t>Antes da correção</w:t>
            </w:r>
          </w:p>
        </w:tc>
        <w:tc>
          <w:tcPr>
            <w:tcW w:type="dxa" w:w="2608"/>
            <w:shd w:fill="1B5FA6"/>
          </w:tcPr>
          <w:p>
            <w:r/>
            <w:r>
              <w:rPr>
                <w:b/>
                <w:color w:val="FFFFFF"/>
                <w:sz w:val="19"/>
              </w:rPr>
              <w:t>Depois da correção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6324A"/>
                <w:sz w:val="19"/>
              </w:rPr>
              <w:t>Detecções médias em Galveston</w:t>
            </w:r>
          </w:p>
        </w:tc>
        <w:tc>
          <w:tcPr>
            <w:tcW w:type="dxa" w:w="2665"/>
          </w:tcPr>
          <w:p>
            <w:r/>
            <w:r>
              <w:rPr>
                <w:color w:val="16324A"/>
                <w:sz w:val="19"/>
              </w:rPr>
              <w:t>3,0 (incluindo a marca d'água)</w:t>
            </w:r>
          </w:p>
        </w:tc>
        <w:tc>
          <w:tcPr>
            <w:tcW w:type="dxa" w:w="2608"/>
          </w:tcPr>
          <w:p>
            <w:r/>
            <w:r>
              <w:rPr>
                <w:color w:val="16324A"/>
                <w:sz w:val="19"/>
              </w:rPr>
              <w:t>1,0 (só embarcações reais)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6324A"/>
                <w:sz w:val="19"/>
              </w:rPr>
              <w:t>Leituras de OCR "válidas" (100 frames)</w:t>
            </w:r>
          </w:p>
        </w:tc>
        <w:tc>
          <w:tcPr>
            <w:tcW w:type="dxa" w:w="2665"/>
          </w:tcPr>
          <w:p>
            <w:r/>
            <w:r>
              <w:rPr>
                <w:color w:val="16324A"/>
                <w:sz w:val="19"/>
              </w:rPr>
              <w:t>25 de 100 (100% fabricadas)</w:t>
            </w:r>
          </w:p>
        </w:tc>
        <w:tc>
          <w:tcPr>
            <w:tcW w:type="dxa" w:w="2608"/>
          </w:tcPr>
          <w:p>
            <w:r/>
            <w:r>
              <w:rPr>
                <w:color w:val="16324A"/>
                <w:sz w:val="19"/>
              </w:rPr>
              <w:t>0 de 100 (honesto: nenhum casco legível nesta amostra)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6324A"/>
                <w:sz w:val="19"/>
              </w:rPr>
              <w:t>Latência média geral</w:t>
            </w:r>
          </w:p>
        </w:tc>
        <w:tc>
          <w:tcPr>
            <w:tcW w:type="dxa" w:w="2665"/>
          </w:tcPr>
          <w:p>
            <w:r/>
            <w:r>
              <w:rPr>
                <w:color w:val="16324A"/>
                <w:sz w:val="19"/>
              </w:rPr>
              <w:t>7.2s / frame</w:t>
            </w:r>
          </w:p>
        </w:tc>
        <w:tc>
          <w:tcPr>
            <w:tcW w:type="dxa" w:w="2608"/>
          </w:tcPr>
          <w:p>
            <w:r/>
            <w:r>
              <w:rPr>
                <w:color w:val="16324A"/>
                <w:sz w:val="19"/>
              </w:rPr>
              <w:t>3.7s / frame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6324A"/>
                <w:sz w:val="19"/>
              </w:rPr>
              <w:t>Latência p95 geral</w:t>
            </w:r>
          </w:p>
        </w:tc>
        <w:tc>
          <w:tcPr>
            <w:tcW w:type="dxa" w:w="2665"/>
          </w:tcPr>
          <w:p>
            <w:r/>
            <w:r>
              <w:rPr>
                <w:color w:val="16324A"/>
                <w:sz w:val="19"/>
              </w:rPr>
              <w:t>13.5s</w:t>
            </w:r>
          </w:p>
        </w:tc>
        <w:tc>
          <w:tcPr>
            <w:tcW w:type="dxa" w:w="2608"/>
          </w:tcPr>
          <w:p>
            <w:r/>
            <w:r>
              <w:rPr>
                <w:color w:val="16324A"/>
                <w:sz w:val="19"/>
              </w:rPr>
              <w:t>6.1s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6324A"/>
                <w:sz w:val="19"/>
              </w:rPr>
              <w:t>Pico de latência observado</w:t>
            </w:r>
          </w:p>
        </w:tc>
        <w:tc>
          <w:tcPr>
            <w:tcW w:type="dxa" w:w="2665"/>
          </w:tcPr>
          <w:p>
            <w:r/>
            <w:r>
              <w:rPr>
                <w:color w:val="16324A"/>
                <w:sz w:val="19"/>
              </w:rPr>
              <w:t>69,4s (1 frame, MSER/OCR sobre a faixa inteira)</w:t>
            </w:r>
          </w:p>
        </w:tc>
        <w:tc>
          <w:tcPr>
            <w:tcW w:type="dxa" w:w="2608"/>
          </w:tcPr>
          <w:p>
            <w:r/>
            <w:r>
              <w:rPr>
                <w:color w:val="16324A"/>
                <w:sz w:val="19"/>
              </w:rPr>
              <w:t>10.7s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color w:val="4C6B82"/>
          <w:sz w:val="20"/>
        </w:rPr>
        <w:t>A correção não foi só de precisão: eliminar essa única caixa fabricada cortou quase pela metade a latência média geral do benchmark, porque o OCR não precisava mais varrer uma faixa quase do tamanho do frame inteiro a cada quadro. Honestidade e performance, neste caso, andaram juntas.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6324A"/>
          <w:sz w:val="36"/>
        </w:rPr>
        <w:t>7. Vantagens e Desvantagens</w:t>
      </w:r>
    </w:p>
    <w:p>
      <w:pPr>
        <w:pStyle w:val="Heading2"/>
        <w:spacing w:before="360" w:after="160"/>
      </w:pPr>
      <w:r>
        <w:rPr>
          <w:rFonts w:ascii="Calibri" w:hAnsi="Calibri"/>
          <w:b/>
          <w:color w:val="1F7A52"/>
          <w:sz w:val="27"/>
        </w:rPr>
        <w:t>7.1 Vantagens</w:t>
      </w:r>
    </w:p>
    <w:p>
      <w:pPr>
        <w:pStyle w:val="ListBullet"/>
        <w:spacing w:after="80"/>
        <w:ind w:left="340"/>
      </w:pPr>
      <w:r>
        <w:rPr>
          <w:color w:val="16324A"/>
          <w:sz w:val="21"/>
        </w:rPr>
        <w:t>Menos falso-positivo isolado: uma caixa só sobrevive à fusão se tiver apoio real de mais de um detector, em vez de vencer sozinha por sorte de confiança.</w:t>
      </w:r>
    </w:p>
    <w:p>
      <w:pPr>
        <w:pStyle w:val="ListBullet"/>
        <w:spacing w:after="80"/>
        <w:ind w:left="340"/>
      </w:pPr>
      <w:r>
        <w:rPr>
          <w:color w:val="16324A"/>
          <w:sz w:val="21"/>
        </w:rPr>
        <w:t>Rastreamento resiste a cruzamentos e oclusões curtas: a aparência real (não só a posição) entra na conta de associação entre frames.</w:t>
      </w:r>
    </w:p>
    <w:p>
      <w:pPr>
        <w:pStyle w:val="ListBullet"/>
        <w:spacing w:after="80"/>
        <w:ind w:left="340"/>
      </w:pPr>
      <w:r>
        <w:rPr>
          <w:color w:val="16324A"/>
          <w:sz w:val="21"/>
        </w:rPr>
        <w:t>Re-identificação sobrevive a reinícios do servidor, via galeria persistente.</w:t>
      </w:r>
    </w:p>
    <w:p>
      <w:pPr>
        <w:pStyle w:val="ListBullet"/>
        <w:spacing w:after="80"/>
        <w:ind w:left="340"/>
      </w:pPr>
      <w:r>
        <w:rPr>
          <w:color w:val="16324A"/>
          <w:sz w:val="21"/>
        </w:rPr>
        <w:t>Leitura de casco finalmente chega à interface quando funciona, e pode ser desligada de verdade quando não é necessária.</w:t>
      </w:r>
    </w:p>
    <w:p>
      <w:pPr>
        <w:pStyle w:val="ListBullet"/>
        <w:spacing w:after="80"/>
        <w:ind w:left="340"/>
      </w:pPr>
      <w:r>
        <w:rPr>
          <w:color w:val="16324A"/>
          <w:sz w:val="21"/>
        </w:rPr>
        <w:t>Auditável: dá para ver por que o sistema confia numa detecção, não só receber um veredito.</w:t>
      </w:r>
    </w:p>
    <w:p>
      <w:pPr>
        <w:pStyle w:val="ListBullet"/>
        <w:spacing w:after="80"/>
        <w:ind w:left="340"/>
      </w:pPr>
      <w:r>
        <w:rPr>
          <w:color w:val="16324A"/>
          <w:sz w:val="21"/>
        </w:rPr>
        <w:t>Um teste de performance em escala (100 frames, 4 fontes reais) encontrou e permitiu corrigir um falso-positivo de produção antes que ele chegasse a um relatório final ou a um usuário.</w:t>
      </w:r>
    </w:p>
    <w:p>
      <w:pPr>
        <w:pStyle w:val="Heading2"/>
        <w:spacing w:before="360" w:after="160"/>
      </w:pPr>
      <w:r>
        <w:rPr>
          <w:rFonts w:ascii="Calibri" w:hAnsi="Calibri"/>
          <w:b/>
          <w:color w:val="A85A16"/>
          <w:sz w:val="27"/>
        </w:rPr>
        <w:t>7.2 Desvantagens e Limitações Conhecidas</w:t>
      </w:r>
    </w:p>
    <w:p>
      <w:pPr>
        <w:pStyle w:val="ListBullet"/>
        <w:spacing w:after="80"/>
        <w:ind w:left="340"/>
      </w:pPr>
      <w:r>
        <w:rPr>
          <w:color w:val="16324A"/>
          <w:sz w:val="21"/>
        </w:rPr>
        <w:t>Latência por frame subiu para uma média de 3.7s em CPU (configuração completa) — cada embarcação soma seu próprio custo de Re-ID e OCR. Desligar esses recursos na interface reduz o custo quando velocidade importa mais.</w:t>
      </w:r>
    </w:p>
    <w:p>
      <w:pPr>
        <w:pStyle w:val="ListBullet"/>
        <w:spacing w:after="80"/>
        <w:ind w:left="340"/>
      </w:pPr>
      <w:r>
        <w:rPr>
          <w:color w:val="16324A"/>
          <w:sz w:val="21"/>
        </w:rPr>
        <w:t>Mais peças móveis: três dependências novas carregadas na inicialização (DINOv2, EasyOCR, HNSW), cada uma um ponto a mais onde algo pode falhar.</w:t>
      </w:r>
    </w:p>
    <w:p>
      <w:pPr>
        <w:pStyle w:val="ListBullet"/>
        <w:spacing w:after="80"/>
        <w:ind w:left="340"/>
      </w:pPr>
      <w:r>
        <w:rPr>
          <w:color w:val="16324A"/>
          <w:sz w:val="21"/>
        </w:rPr>
        <w:t>Primeira inicialização é mais lenta: sem cache local, o servidor baixa os pesos dos modelos antes de começar a processar vídeo.</w:t>
      </w:r>
    </w:p>
    <w:p>
      <w:pPr>
        <w:pStyle w:val="ListBullet"/>
        <w:spacing w:after="80"/>
        <w:ind w:left="340"/>
      </w:pPr>
      <w:r>
        <w:rPr>
          <w:color w:val="16324A"/>
          <w:sz w:val="21"/>
        </w:rPr>
        <w:t>Velocidade continua em pixels/segundo, não em nós reais — a câmera atual não tem calibração real, e inventar uma conversão pareceria precisão que não existe. Escolha deliberada: nenhum dos dois lados desta troca fabrica dado.</w:t>
      </w:r>
    </w:p>
    <w:p>
      <w:pPr>
        <w:pStyle w:val="ListBullet"/>
        <w:spacing w:after="80"/>
        <w:ind w:left="340"/>
      </w:pPr>
      <w:r>
        <w:rPr>
          <w:color w:val="16324A"/>
          <w:sz w:val="21"/>
        </w:rPr>
        <w:t>Ainda pendentes da regressão original: o passe de visão noturna e o filtro de nitidez (Laplaciano) continuam calculados mas não aplicados como filtro real — ver seção de recomendações.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6324A"/>
          <w:sz w:val="36"/>
        </w:rPr>
        <w:t>8. Próximos Passos Recomendados</w:t>
      </w:r>
    </w:p>
    <w:p>
      <w:pPr>
        <w:pStyle w:val="ListBullet"/>
        <w:spacing w:after="80"/>
        <w:ind w:left="340"/>
      </w:pPr>
      <w:r>
        <w:rPr>
          <w:color w:val="16324A"/>
          <w:sz w:val="21"/>
        </w:rPr>
        <w:t>Restaurar o segundo passe de visão noturna (night_frame) e o filtro real de nitidez (Laplaciano) no pluggable_pipeline — ambos calculados hoje, mas não usados como filtro.</w:t>
      </w:r>
    </w:p>
    <w:p>
      <w:pPr>
        <w:pStyle w:val="ListBullet"/>
        <w:spacing w:after="80"/>
        <w:ind w:left="340"/>
      </w:pPr>
      <w:r>
        <w:rPr>
          <w:color w:val="16324A"/>
          <w:sz w:val="21"/>
        </w:rPr>
        <w:t>Corrigir a mesma fabricação de velocidade/destino (nós/GPS via calibração fictícia) no VesselSpatialMemoryTracker, espelhando a correção já feita no BoT-SORT.</w:t>
      </w:r>
    </w:p>
    <w:p>
      <w:pPr>
        <w:pStyle w:val="ListBullet"/>
        <w:spacing w:after="80"/>
        <w:ind w:left="340"/>
      </w:pPr>
      <w:r>
        <w:rPr>
          <w:color w:val="16324A"/>
          <w:sz w:val="21"/>
        </w:rPr>
        <w:t>Considerar aceleração por GPU para Re-ID (DINOv2) e OCR se a latência atual (~1 frame a cada 5–14s em cenas de tráfego intenso) não for aceitável para uso ao vivo contínuo.</w:t>
      </w:r>
    </w:p>
    <w:p>
      <w:pPr>
        <w:pStyle w:val="ListBullet"/>
        <w:spacing w:after="80"/>
        <w:ind w:left="340"/>
      </w:pPr>
      <w:r>
        <w:rPr>
          <w:color w:val="16324A"/>
          <w:sz w:val="21"/>
        </w:rPr>
        <w:t>Repetir este benchmark periodicamente com novas fontes de vídeo — foi exatamente esse processo que encontrou o bug da marca d'água.</w:t>
      </w:r>
    </w:p>
    <w:p>
      <w:pPr>
        <w:spacing w:before="400"/>
      </w:pPr>
    </w:p>
    <w:p>
      <w:pPr>
        <w:spacing w:before="600"/>
      </w:pPr>
      <w:r>
        <w:rPr>
          <w:i/>
          <w:color w:val="4C6B82"/>
          <w:sz w:val="17"/>
        </w:rPr>
        <w:t>Fluvial Vessel Perception — Pipeline de Percepção Naval  |  Documento relacionado: docs/AUDITORIA_ARQUITETURA.md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