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60085117" w:rsidR="00532620" w:rsidRDefault="00732104" w:rsidP="00532620">
      <w:pPr>
        <w:jc w:val="center"/>
        <w:rPr>
          <w:rFonts w:cs="Times New Roman"/>
          <w:b/>
          <w:caps/>
          <w:szCs w:val="20"/>
        </w:rPr>
      </w:pPr>
      <w:r>
        <w:rPr>
          <w:rFonts w:cs="Times New Roman"/>
          <w:b/>
          <w:caps/>
          <w:szCs w:val="20"/>
        </w:rPr>
        <w:t>Master Indices for initializing spatial, seasonal, mULti-Fleet, multi-stock models: Alterna</w:t>
      </w:r>
      <w:r w:rsidR="009848B6">
        <w:rPr>
          <w:rFonts w:cs="Times New Roman"/>
          <w:b/>
          <w:caps/>
          <w:szCs w:val="20"/>
        </w:rPr>
        <w:t>tive indices and sensitivities</w:t>
      </w:r>
    </w:p>
    <w:p w14:paraId="62D0DA79" w14:textId="77777777" w:rsidR="00532620" w:rsidRPr="00532620" w:rsidRDefault="00532620" w:rsidP="00532620">
      <w:pPr>
        <w:jc w:val="center"/>
        <w:rPr>
          <w:rFonts w:cs="Times New Roman"/>
          <w:b/>
          <w:caps/>
          <w:szCs w:val="20"/>
        </w:rPr>
      </w:pPr>
    </w:p>
    <w:p w14:paraId="663DADF2" w14:textId="3BCFC230"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2A52D68F" w14:textId="44B2A775" w:rsidR="00F17330" w:rsidRDefault="003C46E4" w:rsidP="00043093">
      <w:pPr>
        <w:ind w:left="709" w:right="663"/>
        <w:jc w:val="both"/>
        <w:rPr>
          <w:rFonts w:cs="Times New Roman"/>
          <w:szCs w:val="20"/>
        </w:rPr>
      </w:pPr>
      <w:r>
        <w:rPr>
          <w:rFonts w:cs="Times New Roman"/>
          <w:szCs w:val="20"/>
        </w:rPr>
        <w:t xml:space="preserve">Version </w:t>
      </w:r>
      <w:r w:rsidR="00B733C4">
        <w:rPr>
          <w:rFonts w:cs="Times New Roman"/>
          <w:szCs w:val="20"/>
        </w:rPr>
        <w:t>5</w:t>
      </w:r>
      <w:r>
        <w:rPr>
          <w:rFonts w:cs="Times New Roman"/>
          <w:szCs w:val="20"/>
        </w:rPr>
        <w:t xml:space="preserve"> of the M3 model is presented that now calculates apical fishing mortality rates based on annual deviations from a spatial-seasonal index of abundance – the master index. Multiple indices and index weightings are proposed to test whether the model estimates of M3 version </w:t>
      </w:r>
      <w:r w:rsidR="00B733C4">
        <w:rPr>
          <w:rFonts w:cs="Times New Roman"/>
          <w:szCs w:val="20"/>
        </w:rPr>
        <w:t>5</w:t>
      </w:r>
      <w:bookmarkStart w:id="0" w:name="_GoBack"/>
      <w:bookmarkEnd w:id="0"/>
      <w:r>
        <w:rPr>
          <w:rFonts w:cs="Times New Roman"/>
          <w:szCs w:val="20"/>
        </w:rPr>
        <w:t xml:space="preserve"> are dependent on the choice of master index, a model input that has not yet been subject to detailed peer review. Three master indices of varying seasonal-spatial distribution and trend were constructed from varying data sources. When the influence of these indices was down-weighted by prescribing a large coefficient of variation in the annual deviations, M3 model predictions were similar, independent of the master index used.</w:t>
      </w:r>
    </w:p>
    <w:p w14:paraId="0DB82E44" w14:textId="77777777" w:rsidR="003C46E4" w:rsidRPr="004E74D3" w:rsidRDefault="003C46E4" w:rsidP="00043093">
      <w:pPr>
        <w:ind w:left="709" w:right="663"/>
        <w:jc w:val="both"/>
        <w:rPr>
          <w:rFonts w:cs="Times New Roman"/>
          <w:i/>
          <w:szCs w:val="20"/>
        </w:rPr>
      </w:pPr>
    </w:p>
    <w:p w14:paraId="46FDE9D7" w14:textId="77777777" w:rsidR="00532620" w:rsidRPr="004E74D3" w:rsidRDefault="00532620" w:rsidP="00532620">
      <w:pPr>
        <w:jc w:val="center"/>
        <w:rPr>
          <w:rFonts w:cs="Times New Roman"/>
          <w:i/>
          <w:szCs w:val="20"/>
        </w:rPr>
      </w:pPr>
      <w:r w:rsidRPr="004E74D3">
        <w:rPr>
          <w:rFonts w:cs="Times New Roman"/>
          <w:i/>
          <w:szCs w:val="20"/>
        </w:rPr>
        <w:t>KEYWORDS</w:t>
      </w:r>
    </w:p>
    <w:p w14:paraId="1600B84C" w14:textId="77777777" w:rsidR="009A19DF" w:rsidRPr="004E74D3" w:rsidRDefault="009A19DF" w:rsidP="00532620">
      <w:pPr>
        <w:jc w:val="center"/>
        <w:rPr>
          <w:rFonts w:cs="Times New Roman"/>
          <w:i/>
          <w:szCs w:val="20"/>
        </w:rPr>
      </w:pPr>
    </w:p>
    <w:p w14:paraId="1CF64CEB" w14:textId="3BC6D9D8" w:rsidR="00532620" w:rsidRDefault="00732104" w:rsidP="0020513B">
      <w:pPr>
        <w:ind w:left="709" w:right="663"/>
        <w:jc w:val="center"/>
        <w:rPr>
          <w:rFonts w:cs="Times New Roman"/>
          <w:i/>
          <w:szCs w:val="20"/>
        </w:rPr>
      </w:pPr>
      <w:r>
        <w:rPr>
          <w:rFonts w:cs="Times New Roman"/>
          <w:i/>
          <w:szCs w:val="20"/>
        </w:rPr>
        <w:t xml:space="preserve">Abundance indices, Spatial modelling, </w:t>
      </w:r>
      <w:r w:rsidR="008B1675">
        <w:rPr>
          <w:rFonts w:cs="Times New Roman"/>
          <w:i/>
          <w:szCs w:val="20"/>
        </w:rPr>
        <w:t>Operating model</w:t>
      </w:r>
      <w:r w:rsidR="0058379D" w:rsidRPr="004E74D3">
        <w:rPr>
          <w:rFonts w:cs="Times New Roman"/>
          <w:i/>
          <w:szCs w:val="20"/>
        </w:rPr>
        <w:t>,</w:t>
      </w:r>
      <w:r w:rsidR="0020513B" w:rsidRPr="004E74D3">
        <w:rPr>
          <w:rFonts w:cs="Times New Roman"/>
          <w:i/>
          <w:szCs w:val="20"/>
        </w:rPr>
        <w:t xml:space="preserve"> </w:t>
      </w:r>
      <w:r w:rsidR="008B1675">
        <w:rPr>
          <w:rFonts w:cs="Times New Roman"/>
          <w:i/>
          <w:szCs w:val="20"/>
        </w:rPr>
        <w:t>sensitivity analysis, blu</w:t>
      </w:r>
      <w:r w:rsidR="0058379D" w:rsidRPr="004E74D3">
        <w:rPr>
          <w:rFonts w:cs="Times New Roman"/>
          <w:i/>
          <w:szCs w:val="20"/>
        </w:rPr>
        <w:t>efin tuna</w:t>
      </w:r>
      <w:r w:rsidR="008B1675">
        <w:rPr>
          <w:rFonts w:cs="Times New Roman"/>
          <w:i/>
          <w:szCs w:val="20"/>
        </w:rPr>
        <w:t>, stock assessment</w:t>
      </w: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E74D3">
      <w:pPr>
        <w:jc w:val="both"/>
      </w:pPr>
    </w:p>
    <w:p w14:paraId="6A24DF4E" w14:textId="77777777" w:rsidR="003C46E4" w:rsidRDefault="003C46E4" w:rsidP="003C46E4">
      <w:pPr>
        <w:jc w:val="both"/>
      </w:pPr>
      <w:r>
        <w:t>The Atlantic Bluefin tuna Management Strategy Evaluation process is based on a spatial, seasonal, multi-fleet, multi-stock operating model known as M3 (Carruthers et al. 2015a, SCRS/2015/179). The model incorporates a wide range of fishery dependent and independent data (e.g. spatial CPUE indices, spawning surveys, acoustic surveys, electronic tagging and genetics data) to estimate the seasonal, spatial distribution of the combined stock over time (Carruthers et al. 2015b, SCRS/2015/180).</w:t>
      </w:r>
    </w:p>
    <w:p w14:paraId="35CA6EBE" w14:textId="77777777" w:rsidR="004D6A8A" w:rsidRDefault="004D6A8A" w:rsidP="004E74D3">
      <w:pPr>
        <w:jc w:val="both"/>
      </w:pPr>
    </w:p>
    <w:p w14:paraId="516D1F2B" w14:textId="1DAB758F" w:rsidR="00863FBF" w:rsidRDefault="00863FBF" w:rsidP="004E74D3">
      <w:pPr>
        <w:jc w:val="both"/>
      </w:pPr>
      <w:r>
        <w:t>To varying degrees parameters may be confounded i</w:t>
      </w:r>
      <w:r w:rsidR="00732104">
        <w:t>n conventional spatially aggregated, annual stock assessment models</w:t>
      </w:r>
      <w:r w:rsidR="0007008F">
        <w:t xml:space="preserve">. For example, the unfished stock size (often parameterized as unfished recruitment, </w:t>
      </w:r>
      <w:r w:rsidR="0007008F" w:rsidRPr="0007008F">
        <w:rPr>
          <w:i/>
        </w:rPr>
        <w:t>R</w:t>
      </w:r>
      <w:r w:rsidR="0007008F" w:rsidRPr="0007008F">
        <w:rPr>
          <w:i/>
          <w:vertAlign w:val="subscript"/>
        </w:rPr>
        <w:t>0</w:t>
      </w:r>
      <w:r w:rsidR="0007008F">
        <w:t>)</w:t>
      </w:r>
      <w:r w:rsidR="00732104">
        <w:t xml:space="preserve"> </w:t>
      </w:r>
      <w:r w:rsidR="0007008F">
        <w:t>is often negative</w:t>
      </w:r>
      <w:r w:rsidR="004D6A8A">
        <w:t>ly</w:t>
      </w:r>
      <w:r w:rsidR="0007008F">
        <w:t xml:space="preserve"> related to estimates of fishing mortality rate.</w:t>
      </w:r>
      <w:r>
        <w:t xml:space="preserve"> Parameter confounding inhibits numerical convergence on a </w:t>
      </w:r>
      <w:proofErr w:type="gramStart"/>
      <w:r>
        <w:t>global optima</w:t>
      </w:r>
      <w:proofErr w:type="gramEnd"/>
      <w:r>
        <w:t xml:space="preserve"> and can require a very large number of MCMC samples to satisfy convergence diagnostics.</w:t>
      </w:r>
    </w:p>
    <w:p w14:paraId="6DEB7301" w14:textId="77777777" w:rsidR="00863FBF" w:rsidRDefault="00863FBF" w:rsidP="004E74D3">
      <w:pPr>
        <w:jc w:val="both"/>
      </w:pPr>
    </w:p>
    <w:p w14:paraId="3A52A50B" w14:textId="71FA3E86" w:rsidR="004D6A8A" w:rsidRDefault="004D6A8A" w:rsidP="004E74D3">
      <w:pPr>
        <w:jc w:val="both"/>
      </w:pPr>
      <w:r>
        <w:t xml:space="preserve">Problems of model identifiability are </w:t>
      </w:r>
      <w:r w:rsidR="00863FBF">
        <w:t>significantly</w:t>
      </w:r>
      <w:r>
        <w:t xml:space="preserve"> increased in multi-stock fisheries models where, as in the example above, the unfished stock size of the </w:t>
      </w:r>
      <w:r w:rsidR="00863FBF">
        <w:t xml:space="preserve">multiple </w:t>
      </w:r>
      <w:r>
        <w:t>population</w:t>
      </w:r>
      <w:r w:rsidR="00863FBF">
        <w:t>s</w:t>
      </w:r>
      <w:r>
        <w:t xml:space="preserve"> are confounded with each other</w:t>
      </w:r>
      <w:r w:rsidR="00863FBF">
        <w:t xml:space="preserve"> and fishing mortality rates</w:t>
      </w:r>
      <w:r>
        <w:t xml:space="preserve">. Similarly, spatial models can explain spatial distribution according to a much larger set of movement scenarios. It follows that for complex models such as M3, the global objective function </w:t>
      </w:r>
      <w:r w:rsidR="001B088B">
        <w:t xml:space="preserve">is complex with respect to the various estimated parameters for which there are likely to be many local optima. </w:t>
      </w:r>
      <w:r w:rsidR="00557531">
        <w:t>In such a poorly defined optimization proble</w:t>
      </w:r>
      <w:r w:rsidR="008F69A0">
        <w:t xml:space="preserve">m, numerical optimization procedures may either fail to converge on a solution or take a prohibitive amount of </w:t>
      </w:r>
      <w:r w:rsidR="00557531">
        <w:t>time to converge</w:t>
      </w:r>
      <w:r w:rsidR="008A49E4">
        <w:t xml:space="preserve"> on a solution</w:t>
      </w:r>
      <w:r w:rsidR="00557531">
        <w:t xml:space="preserve">. </w:t>
      </w:r>
    </w:p>
    <w:p w14:paraId="143F285F" w14:textId="55FC8B78" w:rsidR="008F69A0" w:rsidRDefault="008F69A0" w:rsidP="004E74D3">
      <w:pPr>
        <w:jc w:val="both"/>
      </w:pPr>
    </w:p>
    <w:p w14:paraId="253F8FE2" w14:textId="58D439B3" w:rsidR="00775C16" w:rsidRDefault="008F69A0" w:rsidP="004E74D3">
      <w:pPr>
        <w:jc w:val="both"/>
      </w:pPr>
      <w:r>
        <w:t>The M3 model uses three tactics to address this problem: initial</w:t>
      </w:r>
      <w:r w:rsidR="00863FBF">
        <w:t>ization of estimation at numerically stable</w:t>
      </w:r>
      <w:r>
        <w:t xml:space="preserve"> values, priors and relaxation. </w:t>
      </w:r>
      <w:r w:rsidR="00775C16">
        <w:t xml:space="preserve">The model initializes at a guess at temporal, spatial and seasonal </w:t>
      </w:r>
      <w:r w:rsidR="00863FBF">
        <w:t>abundance distribution and trend</w:t>
      </w:r>
      <w:r w:rsidR="00775C16">
        <w:t>, assume</w:t>
      </w:r>
      <w:r w:rsidR="00863FBF">
        <w:t xml:space="preserve">s a prior for this distribution the strength of which </w:t>
      </w:r>
      <w:r w:rsidR="00775C16">
        <w:t xml:space="preserve">is relaxed (made less informative) over successive phases of the numerical optimization. </w:t>
      </w:r>
    </w:p>
    <w:p w14:paraId="4358590E" w14:textId="77777777" w:rsidR="00775C16" w:rsidRDefault="00775C16" w:rsidP="004E74D3">
      <w:pPr>
        <w:jc w:val="both"/>
      </w:pPr>
    </w:p>
    <w:p w14:paraId="1FEDED4A" w14:textId="5887E7F0" w:rsidR="008F69A0" w:rsidRDefault="00863FBF" w:rsidP="004E74D3">
      <w:pPr>
        <w:jc w:val="both"/>
      </w:pPr>
      <w:r>
        <w:t>Initial information of spatial, seasonal population abundance is achieved through a single index, referred to as the ‘master index’. The model uses the</w:t>
      </w:r>
      <w:r w:rsidR="008F69A0">
        <w:t xml:space="preserve"> master index </w:t>
      </w:r>
      <w:r w:rsidR="008F69A0" w:rsidRPr="00725DA0">
        <w:rPr>
          <w:i/>
        </w:rPr>
        <w:t>I</w:t>
      </w:r>
      <w:r w:rsidR="008F69A0">
        <w:t xml:space="preserve"> to derive standardized fishing effort</w:t>
      </w:r>
      <w:r w:rsidR="008A49E4">
        <w:t xml:space="preserve"> </w:t>
      </w:r>
      <w:r w:rsidR="008A49E4" w:rsidRPr="00725DA0">
        <w:rPr>
          <w:i/>
        </w:rPr>
        <w:t>E</w:t>
      </w:r>
      <w:r w:rsidR="008F69A0">
        <w:t xml:space="preserve"> by dividing fishery catches</w:t>
      </w:r>
      <w:r w:rsidR="008A49E4">
        <w:t xml:space="preserve"> </w:t>
      </w:r>
      <w:r w:rsidR="008A49E4" w:rsidRPr="00725DA0">
        <w:rPr>
          <w:i/>
        </w:rPr>
        <w:t>C</w:t>
      </w:r>
      <w:r w:rsidR="008F69A0">
        <w:t xml:space="preserve"> by the master index</w:t>
      </w:r>
      <w:r w:rsidR="008A49E4">
        <w:t xml:space="preserve"> </w:t>
      </w:r>
      <w:r w:rsidR="008A49E4" w:rsidRPr="00725DA0">
        <w:rPr>
          <w:i/>
        </w:rPr>
        <w:t>I</w:t>
      </w:r>
      <w:r w:rsidR="008A49E4">
        <w:t>:</w:t>
      </w:r>
      <w:r w:rsidR="008F69A0">
        <w:t xml:space="preserve"> </w:t>
      </w:r>
    </w:p>
    <w:p w14:paraId="08D642D6" w14:textId="77777777" w:rsidR="008F69A0" w:rsidRDefault="008F69A0" w:rsidP="004E74D3">
      <w:pPr>
        <w:jc w:val="both"/>
      </w:pPr>
    </w:p>
    <w:p w14:paraId="7E568452" w14:textId="511218F0" w:rsidR="008F69A0" w:rsidRPr="008A49E4" w:rsidRDefault="008F69A0" w:rsidP="003C46E4">
      <w:pPr>
        <w:ind w:firstLine="720"/>
        <w:jc w:val="both"/>
      </w:pPr>
      <w:proofErr w:type="spellStart"/>
      <w:r w:rsidRPr="00725DA0">
        <w:rPr>
          <w:i/>
        </w:rPr>
        <w:t>E</w:t>
      </w:r>
      <w:r w:rsidRPr="00725DA0">
        <w:rPr>
          <w:i/>
          <w:vertAlign w:val="subscript"/>
        </w:rPr>
        <w:t>y,s,a,f</w:t>
      </w:r>
      <w:proofErr w:type="spellEnd"/>
      <w:r w:rsidRPr="00725DA0">
        <w:rPr>
          <w:i/>
          <w:vertAlign w:val="subscript"/>
        </w:rPr>
        <w:t xml:space="preserve">  </w:t>
      </w:r>
      <w:r w:rsidRPr="00725DA0">
        <w:rPr>
          <w:i/>
        </w:rPr>
        <w:t xml:space="preserve">= </w:t>
      </w:r>
      <w:proofErr w:type="spellStart"/>
      <w:r w:rsidRPr="00725DA0">
        <w:rPr>
          <w:i/>
        </w:rPr>
        <w:t>C</w:t>
      </w:r>
      <w:r w:rsidRPr="00725DA0">
        <w:rPr>
          <w:i/>
          <w:vertAlign w:val="subscript"/>
        </w:rPr>
        <w:t>y,s,a,f</w:t>
      </w:r>
      <w:proofErr w:type="spellEnd"/>
      <w:r w:rsidRPr="00725DA0">
        <w:rPr>
          <w:i/>
          <w:vertAlign w:val="subscript"/>
        </w:rPr>
        <w:t xml:space="preserve"> </w:t>
      </w:r>
      <w:r w:rsidR="008A49E4" w:rsidRPr="00725DA0">
        <w:rPr>
          <w:i/>
          <w:vertAlign w:val="subscript"/>
        </w:rPr>
        <w:t xml:space="preserve"> </w:t>
      </w:r>
      <w:r w:rsidRPr="00725DA0">
        <w:t>/</w:t>
      </w:r>
      <w:r w:rsidRPr="00725DA0">
        <w:rPr>
          <w:i/>
        </w:rPr>
        <w:t xml:space="preserve"> </w:t>
      </w:r>
      <w:proofErr w:type="spellStart"/>
      <w:r w:rsidRPr="00725DA0">
        <w:rPr>
          <w:i/>
        </w:rPr>
        <w:t>I</w:t>
      </w:r>
      <w:r w:rsidRPr="00725DA0">
        <w:rPr>
          <w:i/>
          <w:vertAlign w:val="subscript"/>
        </w:rPr>
        <w:t>y,s,a</w:t>
      </w:r>
      <w:proofErr w:type="spellEnd"/>
      <w:r w:rsidR="008A49E4">
        <w:tab/>
      </w:r>
      <w:r w:rsidR="008A49E4">
        <w:tab/>
      </w:r>
      <w:r w:rsidR="008A49E4">
        <w:tab/>
      </w:r>
      <w:r w:rsidR="008A49E4">
        <w:tab/>
      </w:r>
      <w:r w:rsidR="008A49E4">
        <w:tab/>
      </w:r>
      <w:r w:rsidR="009848B6">
        <w:tab/>
      </w:r>
      <w:r w:rsidR="009848B6">
        <w:tab/>
        <w:t>(1)</w:t>
      </w:r>
    </w:p>
    <w:p w14:paraId="4074D836" w14:textId="77777777" w:rsidR="008F69A0" w:rsidRDefault="008F69A0" w:rsidP="004E74D3">
      <w:pPr>
        <w:jc w:val="both"/>
      </w:pPr>
    </w:p>
    <w:p w14:paraId="65136AC3" w14:textId="33E07F51" w:rsidR="008F69A0" w:rsidRDefault="008F69A0" w:rsidP="004E74D3">
      <w:pPr>
        <w:jc w:val="both"/>
      </w:pPr>
      <w:r>
        <w:t xml:space="preserve">This means that the model can predict fishing mortality rate </w:t>
      </w:r>
      <w:r w:rsidR="00725DA0">
        <w:rPr>
          <w:i/>
        </w:rPr>
        <w:t>F</w:t>
      </w:r>
      <w:r w:rsidR="00725DA0" w:rsidRPr="00725DA0">
        <w:t>,</w:t>
      </w:r>
      <w:r w:rsidR="00725DA0">
        <w:rPr>
          <w:i/>
        </w:rPr>
        <w:t xml:space="preserve"> </w:t>
      </w:r>
      <w:r>
        <w:t xml:space="preserve">and hence catches by simply estimating a single catchability parameter </w:t>
      </w:r>
      <w:r w:rsidR="00725DA0" w:rsidRPr="00725DA0">
        <w:rPr>
          <w:i/>
        </w:rPr>
        <w:t>q</w:t>
      </w:r>
      <w:r w:rsidR="00725DA0">
        <w:t xml:space="preserve">, </w:t>
      </w:r>
      <w:r>
        <w:t>per fleet</w:t>
      </w:r>
      <w:r w:rsidR="008A49E4">
        <w:t xml:space="preserve"> (as opposed to a fishing mortality rate per year </w:t>
      </w:r>
      <w:r w:rsidR="008A49E4" w:rsidRPr="00725DA0">
        <w:rPr>
          <w:i/>
        </w:rPr>
        <w:t>y</w:t>
      </w:r>
      <w:r w:rsidR="008A49E4">
        <w:t xml:space="preserve">, season </w:t>
      </w:r>
      <w:r w:rsidR="008A49E4" w:rsidRPr="00725DA0">
        <w:rPr>
          <w:i/>
        </w:rPr>
        <w:t>s</w:t>
      </w:r>
      <w:r w:rsidR="008A49E4">
        <w:t xml:space="preserve">, area </w:t>
      </w:r>
      <w:r w:rsidR="008A49E4" w:rsidRPr="00725DA0">
        <w:rPr>
          <w:i/>
        </w:rPr>
        <w:t>a</w:t>
      </w:r>
      <w:r w:rsidR="008A49E4">
        <w:t xml:space="preserve">, and fleet </w:t>
      </w:r>
      <w:r w:rsidR="008A49E4" w:rsidRPr="00725DA0">
        <w:rPr>
          <w:i/>
        </w:rPr>
        <w:t>f</w:t>
      </w:r>
      <w:r w:rsidR="008A49E4">
        <w:t>:</w:t>
      </w:r>
    </w:p>
    <w:p w14:paraId="12D67EB8" w14:textId="49C81DDA" w:rsidR="008F69A0" w:rsidRDefault="008F69A0" w:rsidP="004E74D3">
      <w:pPr>
        <w:jc w:val="both"/>
      </w:pPr>
    </w:p>
    <w:p w14:paraId="1D2E1933" w14:textId="3754FC4E" w:rsidR="008F69A0" w:rsidRPr="008A49E4" w:rsidRDefault="00775C16" w:rsidP="003C46E4">
      <w:pPr>
        <w:ind w:firstLine="720"/>
        <w:jc w:val="both"/>
      </w:pPr>
      <w:proofErr w:type="spellStart"/>
      <w:proofErr w:type="gramStart"/>
      <w:r w:rsidRPr="00725DA0">
        <w:rPr>
          <w:i/>
        </w:rPr>
        <w:t>F</w:t>
      </w:r>
      <w:r w:rsidRPr="00725DA0">
        <w:rPr>
          <w:i/>
          <w:vertAlign w:val="subscript"/>
        </w:rPr>
        <w:t>y,s</w:t>
      </w:r>
      <w:proofErr w:type="gramEnd"/>
      <w:r w:rsidRPr="00725DA0">
        <w:rPr>
          <w:i/>
          <w:vertAlign w:val="subscript"/>
        </w:rPr>
        <w:t>,a,f</w:t>
      </w:r>
      <w:proofErr w:type="spellEnd"/>
      <w:r w:rsidRPr="00725DA0">
        <w:rPr>
          <w:i/>
        </w:rPr>
        <w:t xml:space="preserve"> = </w:t>
      </w:r>
      <w:proofErr w:type="spellStart"/>
      <w:r w:rsidRPr="00725DA0">
        <w:rPr>
          <w:i/>
        </w:rPr>
        <w:t>q</w:t>
      </w:r>
      <w:r w:rsidRPr="00725DA0">
        <w:rPr>
          <w:i/>
          <w:vertAlign w:val="subscript"/>
        </w:rPr>
        <w:t>f</w:t>
      </w:r>
      <w:proofErr w:type="spellEnd"/>
      <w:r w:rsidRPr="00725DA0">
        <w:rPr>
          <w:i/>
        </w:rPr>
        <w:t xml:space="preserve"> </w:t>
      </w:r>
      <w:r w:rsidR="008A49E4" w:rsidRPr="00725DA0">
        <w:rPr>
          <w:rFonts w:cs="Times New Roman"/>
          <w:i/>
        </w:rPr>
        <w:t>∙</w:t>
      </w:r>
      <w:r w:rsidRPr="00725DA0">
        <w:rPr>
          <w:i/>
        </w:rPr>
        <w:t xml:space="preserve"> </w:t>
      </w:r>
      <w:proofErr w:type="spellStart"/>
      <w:r w:rsidRPr="00725DA0">
        <w:rPr>
          <w:i/>
        </w:rPr>
        <w:t>E</w:t>
      </w:r>
      <w:r w:rsidRPr="00725DA0">
        <w:rPr>
          <w:i/>
          <w:vertAlign w:val="subscript"/>
        </w:rPr>
        <w:t>y,s,a,f</w:t>
      </w:r>
      <w:proofErr w:type="spellEnd"/>
      <w:r w:rsidR="008A49E4" w:rsidRPr="00725DA0">
        <w:rPr>
          <w:i/>
        </w:rPr>
        <w:tab/>
      </w:r>
      <w:r w:rsidR="008A49E4">
        <w:tab/>
      </w:r>
      <w:r w:rsidR="008A49E4">
        <w:tab/>
      </w:r>
      <w:r w:rsidR="008A49E4">
        <w:tab/>
      </w:r>
      <w:r w:rsidR="008A49E4">
        <w:tab/>
      </w:r>
      <w:r w:rsidR="008A49E4">
        <w:tab/>
      </w:r>
      <w:r w:rsidR="009848B6">
        <w:tab/>
      </w:r>
      <w:r w:rsidR="009848B6">
        <w:tab/>
        <w:t>(2)</w:t>
      </w:r>
    </w:p>
    <w:p w14:paraId="0EE99AE5" w14:textId="32E7ECC7" w:rsidR="00775C16" w:rsidRDefault="00775C16" w:rsidP="004E74D3">
      <w:pPr>
        <w:jc w:val="both"/>
      </w:pPr>
    </w:p>
    <w:p w14:paraId="067360DE" w14:textId="35B49EFC" w:rsidR="00775C16" w:rsidRDefault="00863FBF" w:rsidP="004E74D3">
      <w:pPr>
        <w:jc w:val="both"/>
      </w:pPr>
      <w:r>
        <w:t>Since t</w:t>
      </w:r>
      <w:r w:rsidR="008A49E4">
        <w:t>he current version of M3 (4.5.1) includes 52 historical years, 4 seasons, 7 areas and 15 fleets</w:t>
      </w:r>
      <w:r>
        <w:t xml:space="preserve"> there are as m</w:t>
      </w:r>
      <w:r w:rsidR="008A49E4">
        <w:t>any as 21,840 fishing mortality rate parameters. Equations 1 and 2 reduce</w:t>
      </w:r>
      <w:r>
        <w:t xml:space="preserve"> estimation requirements from this very large number</w:t>
      </w:r>
      <w:r w:rsidR="008A49E4">
        <w:t xml:space="preserve"> to just 15, one </w:t>
      </w:r>
      <w:r w:rsidR="008A49E4" w:rsidRPr="00725DA0">
        <w:rPr>
          <w:i/>
        </w:rPr>
        <w:t>q</w:t>
      </w:r>
      <w:r w:rsidR="008A49E4">
        <w:t xml:space="preserve"> per fleet. </w:t>
      </w:r>
      <w:r w:rsidR="00775C16">
        <w:t xml:space="preserve">The </w:t>
      </w:r>
      <w:r>
        <w:t xml:space="preserve">limitation of </w:t>
      </w:r>
      <w:r w:rsidR="00775C16">
        <w:t>this approach is that</w:t>
      </w:r>
      <w:r w:rsidR="00725DA0">
        <w:t xml:space="preserve"> both trend and</w:t>
      </w:r>
      <w:r w:rsidR="008A49E4">
        <w:t xml:space="preserve"> absolute level of</w:t>
      </w:r>
      <w:r w:rsidR="00775C16">
        <w:t xml:space="preserve"> </w:t>
      </w:r>
      <w:r w:rsidR="008A49E4">
        <w:t xml:space="preserve">seasonal </w:t>
      </w:r>
      <w:r w:rsidR="00725DA0">
        <w:t xml:space="preserve">- </w:t>
      </w:r>
      <w:r w:rsidR="008A49E4">
        <w:t>spatial abundance</w:t>
      </w:r>
      <w:r w:rsidR="00775C16">
        <w:t xml:space="preserve"> is essentially predetermined (hard-wired) by the master index. </w:t>
      </w:r>
      <w:r>
        <w:t xml:space="preserve">Any deviations that occur must happen at the cost of mis-fit to the observed catches. </w:t>
      </w:r>
    </w:p>
    <w:p w14:paraId="35B7E7A6" w14:textId="6B3EA897" w:rsidR="00775C16" w:rsidRDefault="00775C16" w:rsidP="004E74D3">
      <w:pPr>
        <w:jc w:val="both"/>
      </w:pPr>
    </w:p>
    <w:p w14:paraId="5DD6882A" w14:textId="30E8C06E" w:rsidR="00775C16" w:rsidRDefault="00775C16" w:rsidP="004E74D3">
      <w:pPr>
        <w:jc w:val="both"/>
      </w:pPr>
      <w:r>
        <w:t xml:space="preserve">To allow for seasonal deviations in magnitude of </w:t>
      </w:r>
      <w:r w:rsidR="008A49E4">
        <w:t xml:space="preserve">abundance </w:t>
      </w:r>
      <w:r>
        <w:t xml:space="preserve">a spatial-seasonal deviation </w:t>
      </w:r>
      <w:r w:rsidRPr="00725DA0">
        <w:rPr>
          <w:rFonts w:cs="Times New Roman"/>
          <w:i/>
        </w:rPr>
        <w:t>θ</w:t>
      </w:r>
      <w:r>
        <w:t xml:space="preserve"> can be added:</w:t>
      </w:r>
    </w:p>
    <w:p w14:paraId="17766DE6" w14:textId="3562BF89" w:rsidR="00775C16" w:rsidRDefault="00775C16" w:rsidP="004E74D3">
      <w:pPr>
        <w:jc w:val="both"/>
      </w:pPr>
    </w:p>
    <w:p w14:paraId="1F39A207" w14:textId="5E56D1FC" w:rsidR="00775C16" w:rsidRPr="008A49E4" w:rsidRDefault="00775C16" w:rsidP="003C46E4">
      <w:pPr>
        <w:ind w:firstLine="720"/>
        <w:jc w:val="both"/>
      </w:pPr>
      <w:proofErr w:type="spellStart"/>
      <w:r w:rsidRPr="00725DA0">
        <w:rPr>
          <w:i/>
        </w:rPr>
        <w:t>F</w:t>
      </w:r>
      <w:r w:rsidRPr="00725DA0">
        <w:rPr>
          <w:i/>
          <w:vertAlign w:val="subscript"/>
        </w:rPr>
        <w:t>y,s,a,f</w:t>
      </w:r>
      <w:proofErr w:type="spellEnd"/>
      <w:r w:rsidRPr="00725DA0">
        <w:rPr>
          <w:i/>
        </w:rPr>
        <w:t xml:space="preserve"> = </w:t>
      </w:r>
      <w:proofErr w:type="spellStart"/>
      <w:r w:rsidRPr="00725DA0">
        <w:rPr>
          <w:i/>
        </w:rPr>
        <w:t>q</w:t>
      </w:r>
      <w:r w:rsidRPr="00725DA0">
        <w:rPr>
          <w:i/>
          <w:vertAlign w:val="subscript"/>
        </w:rPr>
        <w:t>f</w:t>
      </w:r>
      <w:proofErr w:type="spellEnd"/>
      <w:r w:rsidRPr="00725DA0">
        <w:rPr>
          <w:i/>
        </w:rPr>
        <w:t xml:space="preserve"> </w:t>
      </w:r>
      <w:r w:rsidR="008A49E4" w:rsidRPr="00725DA0">
        <w:rPr>
          <w:rFonts w:cs="Times New Roman"/>
          <w:i/>
        </w:rPr>
        <w:t>∙</w:t>
      </w:r>
      <w:r w:rsidRPr="00725DA0">
        <w:rPr>
          <w:i/>
        </w:rPr>
        <w:t xml:space="preserve"> </w:t>
      </w:r>
      <w:proofErr w:type="spellStart"/>
      <w:r w:rsidRPr="00725DA0">
        <w:rPr>
          <w:i/>
        </w:rPr>
        <w:t>E</w:t>
      </w:r>
      <w:r w:rsidRPr="00725DA0">
        <w:rPr>
          <w:i/>
          <w:vertAlign w:val="subscript"/>
        </w:rPr>
        <w:t>y,s,a,f</w:t>
      </w:r>
      <w:proofErr w:type="spellEnd"/>
      <w:r w:rsidRPr="00725DA0">
        <w:rPr>
          <w:i/>
          <w:vertAlign w:val="subscript"/>
        </w:rPr>
        <w:t xml:space="preserve"> </w:t>
      </w:r>
      <w:r w:rsidRPr="00725DA0">
        <w:rPr>
          <w:i/>
        </w:rPr>
        <w:t xml:space="preserve"> </w:t>
      </w:r>
      <w:r w:rsidR="008A49E4" w:rsidRPr="00725DA0">
        <w:rPr>
          <w:rFonts w:cs="Times New Roman"/>
          <w:i/>
        </w:rPr>
        <w:t>∙</w:t>
      </w:r>
      <w:r w:rsidRPr="00725DA0">
        <w:rPr>
          <w:i/>
        </w:rPr>
        <w:t xml:space="preserve"> </w:t>
      </w:r>
      <w:r w:rsidR="009848B6" w:rsidRPr="009848B6">
        <w:t>exp</w:t>
      </w:r>
      <w:r w:rsidR="009848B6">
        <w:t>(</w:t>
      </w:r>
      <w:proofErr w:type="spellStart"/>
      <w:r w:rsidRPr="009848B6">
        <w:rPr>
          <w:rFonts w:cs="Times New Roman"/>
          <w:i/>
        </w:rPr>
        <w:t>θ</w:t>
      </w:r>
      <w:r w:rsidRPr="009848B6">
        <w:rPr>
          <w:vertAlign w:val="subscript"/>
        </w:rPr>
        <w:t>s</w:t>
      </w:r>
      <w:r w:rsidRPr="00725DA0">
        <w:rPr>
          <w:i/>
          <w:vertAlign w:val="subscript"/>
        </w:rPr>
        <w:t>,a</w:t>
      </w:r>
      <w:proofErr w:type="spellEnd"/>
      <w:r w:rsidR="009848B6" w:rsidRPr="009848B6">
        <w:t>)</w:t>
      </w:r>
      <w:r w:rsidR="008A49E4">
        <w:rPr>
          <w:vertAlign w:val="subscript"/>
        </w:rPr>
        <w:tab/>
      </w:r>
      <w:r w:rsidR="008A49E4">
        <w:rPr>
          <w:vertAlign w:val="subscript"/>
        </w:rPr>
        <w:tab/>
      </w:r>
      <w:r w:rsidR="008A49E4">
        <w:rPr>
          <w:vertAlign w:val="subscript"/>
        </w:rPr>
        <w:tab/>
      </w:r>
      <w:r w:rsidR="008A49E4">
        <w:rPr>
          <w:vertAlign w:val="subscript"/>
        </w:rPr>
        <w:tab/>
      </w:r>
      <w:r w:rsidR="008A49E4">
        <w:rPr>
          <w:vertAlign w:val="subscript"/>
        </w:rPr>
        <w:tab/>
      </w:r>
      <w:r w:rsidR="009848B6">
        <w:rPr>
          <w:vertAlign w:val="subscript"/>
        </w:rPr>
        <w:tab/>
      </w:r>
      <w:r w:rsidR="009848B6">
        <w:t>(3)</w:t>
      </w:r>
    </w:p>
    <w:p w14:paraId="23FD9415" w14:textId="77777777" w:rsidR="009848B6" w:rsidRDefault="009848B6" w:rsidP="008A49E4">
      <w:pPr>
        <w:jc w:val="both"/>
      </w:pPr>
    </w:p>
    <w:p w14:paraId="5E81D5AE" w14:textId="4F9672D6" w:rsidR="009848B6" w:rsidRDefault="008A49E4" w:rsidP="008A49E4">
      <w:pPr>
        <w:jc w:val="both"/>
      </w:pPr>
      <w:r>
        <w:t xml:space="preserve">This estimation problem is still identifiable because the </w:t>
      </w:r>
      <w:r w:rsidRPr="00725DA0">
        <w:rPr>
          <w:rFonts w:cs="Times New Roman"/>
          <w:i/>
        </w:rPr>
        <w:t>θ</w:t>
      </w:r>
      <w:r>
        <w:t xml:space="preserve"> terms </w:t>
      </w:r>
      <w:r w:rsidR="00863FBF">
        <w:t xml:space="preserve">have </w:t>
      </w:r>
      <w:r>
        <w:t>weak lognormal priors (CV of 200%)</w:t>
      </w:r>
      <w:r w:rsidR="00863FBF" w:rsidRPr="00863FBF">
        <w:t xml:space="preserve"> </w:t>
      </w:r>
      <w:r w:rsidR="00863FBF">
        <w:t xml:space="preserve">and are constrained to sum to zero </w:t>
      </w:r>
      <m:oMath>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sSub>
                  <m:sSubPr>
                    <m:ctrlPr>
                      <w:rPr>
                        <w:rFonts w:ascii="Cambria Math" w:hAnsi="Cambria Math"/>
                        <w:i/>
                      </w:rPr>
                    </m:ctrlPr>
                  </m:sSubPr>
                  <m:e>
                    <m:r>
                      <w:rPr>
                        <w:rFonts w:ascii="Cambria Math" w:hAnsi="Cambria Math"/>
                        <w:i/>
                      </w:rPr>
                      <w:sym w:font="Symbol" w:char="F071"/>
                    </m:r>
                  </m:e>
                  <m:sub>
                    <m:r>
                      <w:rPr>
                        <w:rFonts w:ascii="Cambria Math" w:hAnsi="Cambria Math"/>
                      </w:rPr>
                      <m:t>s,a</m:t>
                    </m:r>
                  </m:sub>
                </m:sSub>
              </m:e>
            </m:nary>
            <m:r>
              <w:rPr>
                <w:rFonts w:ascii="Cambria Math" w:hAnsi="Cambria Math"/>
              </w:rPr>
              <m:t>=0</m:t>
            </m:r>
          </m:e>
        </m:nary>
      </m:oMath>
      <w:r w:rsidR="00863FBF">
        <w:t xml:space="preserve">. </w:t>
      </w:r>
      <w:r w:rsidR="009848B6">
        <w:t xml:space="preserve">The corresponding negative log-likelihood component in the M3 estimation model is: </w:t>
      </w:r>
    </w:p>
    <w:p w14:paraId="1B2CEA14" w14:textId="77777777" w:rsidR="009848B6" w:rsidRDefault="009848B6" w:rsidP="008A49E4">
      <w:pPr>
        <w:jc w:val="both"/>
      </w:pPr>
    </w:p>
    <w:p w14:paraId="707FCCDA" w14:textId="66E5C3A7" w:rsidR="009848B6" w:rsidRPr="009848B6" w:rsidRDefault="00446E49" w:rsidP="003C46E4">
      <w:pPr>
        <w:ind w:firstLine="720"/>
        <w:jc w:val="both"/>
      </w:pPr>
      <m:oMath>
        <m:sSub>
          <m:sSubPr>
            <m:ctrlPr>
              <w:rPr>
                <w:rFonts w:ascii="Cambria Math" w:hAnsi="Cambria Math"/>
              </w:rPr>
            </m:ctrlPr>
          </m:sSubPr>
          <m:e>
            <m:r>
              <w:rPr>
                <w:rFonts w:ascii="Cambria Math" w:hAnsi="Cambria Math"/>
              </w:rPr>
              <m:t>-lnL</m:t>
            </m:r>
          </m:e>
          <m:sub>
            <m:r>
              <w:rPr>
                <w:rFonts w:ascii="Cambria Math" w:hAnsi="Cambria Math"/>
                <w:i/>
              </w:rPr>
              <w:sym w:font="Symbol" w:char="F071"/>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ln</m:t>
                </m:r>
                <m:d>
                  <m:dPr>
                    <m:ctrlPr>
                      <w:rPr>
                        <w:rFonts w:ascii="Cambria Math" w:hAnsi="Cambria Math"/>
                      </w:rPr>
                    </m:ctrlPr>
                  </m:dPr>
                  <m:e>
                    <m:r>
                      <w:rPr>
                        <w:rFonts w:ascii="Cambria Math" w:hAnsi="Cambria Math"/>
                      </w:rPr>
                      <m:t>2</m:t>
                    </m:r>
                  </m:e>
                </m:d>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s,a</m:t>
                                </m:r>
                              </m:sub>
                            </m:sSub>
                          </m:e>
                        </m:d>
                      </m:e>
                      <m:sup>
                        <m:r>
                          <m:rPr>
                            <m:sty m:val="p"/>
                          </m:rPr>
                          <w:rPr>
                            <w:rFonts w:ascii="Cambria Math" w:hAnsi="Cambria Math"/>
                          </w:rPr>
                          <m:t>2</m:t>
                        </m:r>
                      </m:sup>
                    </m:sSup>
                  </m:num>
                  <m:den>
                    <m:r>
                      <m:rPr>
                        <m:sty m:val="p"/>
                      </m:rPr>
                      <w:rPr>
                        <w:rFonts w:ascii="Cambria Math" w:hAnsi="Cambria Math"/>
                      </w:rPr>
                      <m:t>8</m:t>
                    </m:r>
                  </m:den>
                </m:f>
              </m:e>
            </m:nary>
          </m:e>
        </m:nary>
      </m:oMath>
      <w:r w:rsidR="009848B6" w:rsidRPr="009848B6">
        <w:t xml:space="preserve"> </w:t>
      </w:r>
      <w:r w:rsidR="009848B6" w:rsidRPr="009848B6">
        <w:tab/>
      </w:r>
      <w:r w:rsidR="009848B6" w:rsidRPr="009848B6">
        <w:tab/>
      </w:r>
      <w:r w:rsidR="009848B6" w:rsidRPr="009848B6">
        <w:tab/>
      </w:r>
      <w:r w:rsidR="009848B6">
        <w:tab/>
      </w:r>
      <w:r w:rsidR="009848B6">
        <w:tab/>
      </w:r>
      <w:r w:rsidR="009848B6">
        <w:tab/>
      </w:r>
      <w:r w:rsidR="009848B6" w:rsidRPr="009848B6">
        <w:t>(</w:t>
      </w:r>
      <w:r w:rsidR="009848B6">
        <w:t>4</w:t>
      </w:r>
      <w:r w:rsidR="009848B6" w:rsidRPr="009848B6">
        <w:t>)</w:t>
      </w:r>
    </w:p>
    <w:p w14:paraId="47D73D2E" w14:textId="77777777" w:rsidR="009848B6" w:rsidRDefault="009848B6" w:rsidP="008A49E4">
      <w:pPr>
        <w:jc w:val="both"/>
      </w:pPr>
    </w:p>
    <w:p w14:paraId="4D9CBDD4" w14:textId="419B2AD0" w:rsidR="00557531" w:rsidRDefault="008A49E4" w:rsidP="008A49E4">
      <w:pPr>
        <w:jc w:val="both"/>
      </w:pPr>
      <w:r>
        <w:t>Given sufficient seasonal stock of origin data and electronic tagging data these may be updated substantially</w:t>
      </w:r>
      <w:r w:rsidR="00725DA0">
        <w:t xml:space="preserve"> (as was the case in older versions</w:t>
      </w:r>
      <w:r>
        <w:t xml:space="preserve"> of the M3 model</w:t>
      </w:r>
      <w:r w:rsidR="00725DA0">
        <w:t>, v4.4 and earlier</w:t>
      </w:r>
      <w:r>
        <w:t>).</w:t>
      </w:r>
    </w:p>
    <w:p w14:paraId="5D2575A0" w14:textId="1C14CFB2" w:rsidR="008A49E4" w:rsidRDefault="008A49E4" w:rsidP="008A49E4">
      <w:pPr>
        <w:jc w:val="both"/>
      </w:pPr>
    </w:p>
    <w:p w14:paraId="3B38D799" w14:textId="6AB0DED0" w:rsidR="00725DA0" w:rsidRDefault="008A49E4" w:rsidP="008A49E4">
      <w:pPr>
        <w:jc w:val="both"/>
      </w:pPr>
      <w:r>
        <w:t xml:space="preserve">A significant drawback of this approach is that although seasonal – spatial magnitude in abundance can now depart substantially from that of the Master Index, the trend in abundance is still largely fixed </w:t>
      </w:r>
      <w:r w:rsidR="00863FBF">
        <w:t>within each area and season</w:t>
      </w:r>
      <w:r>
        <w:t xml:space="preserve">. </w:t>
      </w:r>
    </w:p>
    <w:p w14:paraId="602B69A2" w14:textId="77777777" w:rsidR="00725DA0" w:rsidRDefault="00725DA0" w:rsidP="008A49E4">
      <w:pPr>
        <w:jc w:val="both"/>
      </w:pPr>
    </w:p>
    <w:p w14:paraId="65709084" w14:textId="0816724B" w:rsidR="008A49E4" w:rsidRDefault="008A49E4" w:rsidP="008A49E4">
      <w:pPr>
        <w:jc w:val="both"/>
      </w:pPr>
      <w:r>
        <w:t xml:space="preserve">For example, to fit a fishery independent index that differs strongly from that of the Master Index, the model must mis-fit the observed catches. </w:t>
      </w:r>
    </w:p>
    <w:p w14:paraId="0A58FAF7" w14:textId="3AA91EC7" w:rsidR="008A49E4" w:rsidRDefault="008A49E4" w:rsidP="008A49E4">
      <w:pPr>
        <w:jc w:val="both"/>
      </w:pPr>
    </w:p>
    <w:p w14:paraId="050E89F8" w14:textId="119CDC9F" w:rsidR="008A49E4" w:rsidRDefault="008A49E4" w:rsidP="008A49E4">
      <w:pPr>
        <w:jc w:val="both"/>
      </w:pPr>
      <w:r>
        <w:t>In this paper</w:t>
      </w:r>
      <w:r w:rsidR="00725DA0">
        <w:t>,</w:t>
      </w:r>
      <w:r>
        <w:t xml:space="preserve"> I investigate </w:t>
      </w:r>
      <w:r w:rsidR="00725DA0">
        <w:t>the possibility of</w:t>
      </w:r>
      <w:r>
        <w:t xml:space="preserve"> add</w:t>
      </w:r>
      <w:r w:rsidR="00725DA0">
        <w:t xml:space="preserve">ing temporal deviations </w:t>
      </w:r>
      <w:r w:rsidR="009848B6">
        <w:sym w:font="Symbol" w:char="F064"/>
      </w:r>
      <w:r w:rsidR="009848B6">
        <w:t xml:space="preserve"> </w:t>
      </w:r>
      <w:r w:rsidR="00725DA0">
        <w:t>to E</w:t>
      </w:r>
      <w:r>
        <w:t xml:space="preserve">quation </w:t>
      </w:r>
      <w:r w:rsidR="00725DA0">
        <w:t>3</w:t>
      </w:r>
      <w:r>
        <w:t xml:space="preserve"> in order to allow for </w:t>
      </w:r>
      <w:r w:rsidR="00725DA0">
        <w:t>flexibility in estimated trend in each season and area</w:t>
      </w:r>
      <w:r>
        <w:t>:</w:t>
      </w:r>
    </w:p>
    <w:p w14:paraId="2B9747DE" w14:textId="1EBB3199" w:rsidR="008A49E4" w:rsidRDefault="008A49E4" w:rsidP="008A49E4">
      <w:pPr>
        <w:jc w:val="both"/>
      </w:pPr>
    </w:p>
    <w:p w14:paraId="6DE00CB5" w14:textId="5FF52803" w:rsidR="008A49E4" w:rsidRPr="008A49E4" w:rsidRDefault="008A49E4" w:rsidP="003C46E4">
      <w:pPr>
        <w:ind w:firstLine="720"/>
        <w:jc w:val="both"/>
      </w:pPr>
      <w:proofErr w:type="spellStart"/>
      <w:r w:rsidRPr="00725DA0">
        <w:rPr>
          <w:i/>
        </w:rPr>
        <w:t>F</w:t>
      </w:r>
      <w:r w:rsidRPr="00725DA0">
        <w:rPr>
          <w:i/>
          <w:vertAlign w:val="subscript"/>
        </w:rPr>
        <w:t>y,s,a,f</w:t>
      </w:r>
      <w:proofErr w:type="spellEnd"/>
      <w:r w:rsidRPr="00725DA0">
        <w:rPr>
          <w:i/>
        </w:rPr>
        <w:t xml:space="preserve"> = </w:t>
      </w:r>
      <w:proofErr w:type="spellStart"/>
      <w:r w:rsidRPr="00725DA0">
        <w:rPr>
          <w:i/>
        </w:rPr>
        <w:t>q</w:t>
      </w:r>
      <w:r w:rsidRPr="00725DA0">
        <w:rPr>
          <w:i/>
          <w:vertAlign w:val="subscript"/>
        </w:rPr>
        <w:t>f</w:t>
      </w:r>
      <w:proofErr w:type="spellEnd"/>
      <w:r w:rsidRPr="00725DA0">
        <w:rPr>
          <w:i/>
        </w:rPr>
        <w:t xml:space="preserve"> </w:t>
      </w:r>
      <w:r w:rsidRPr="00725DA0">
        <w:rPr>
          <w:rFonts w:cs="Times New Roman"/>
          <w:i/>
        </w:rPr>
        <w:t>∙</w:t>
      </w:r>
      <w:r w:rsidRPr="00725DA0">
        <w:rPr>
          <w:i/>
        </w:rPr>
        <w:t xml:space="preserve"> </w:t>
      </w:r>
      <w:proofErr w:type="spellStart"/>
      <w:r w:rsidRPr="00725DA0">
        <w:rPr>
          <w:i/>
        </w:rPr>
        <w:t>E</w:t>
      </w:r>
      <w:r w:rsidRPr="00725DA0">
        <w:rPr>
          <w:i/>
          <w:vertAlign w:val="subscript"/>
        </w:rPr>
        <w:t>y,s,a,f</w:t>
      </w:r>
      <w:proofErr w:type="spellEnd"/>
      <w:r w:rsidRPr="00725DA0">
        <w:rPr>
          <w:i/>
          <w:vertAlign w:val="subscript"/>
        </w:rPr>
        <w:t xml:space="preserve"> </w:t>
      </w:r>
      <w:r w:rsidRPr="00725DA0">
        <w:rPr>
          <w:i/>
        </w:rPr>
        <w:t xml:space="preserve"> </w:t>
      </w:r>
      <w:r w:rsidRPr="00725DA0">
        <w:rPr>
          <w:rFonts w:cs="Times New Roman"/>
          <w:i/>
        </w:rPr>
        <w:t>∙</w:t>
      </w:r>
      <w:r w:rsidR="009848B6" w:rsidRPr="009848B6">
        <w:t xml:space="preserve"> exp</w:t>
      </w:r>
      <w:r w:rsidR="009848B6">
        <w:t>(</w:t>
      </w:r>
      <w:proofErr w:type="spellStart"/>
      <w:r w:rsidRPr="00725DA0">
        <w:rPr>
          <w:rFonts w:cs="Times New Roman"/>
          <w:i/>
        </w:rPr>
        <w:t>θ</w:t>
      </w:r>
      <w:r w:rsidRPr="00725DA0">
        <w:rPr>
          <w:i/>
          <w:vertAlign w:val="subscript"/>
        </w:rPr>
        <w:t>s,a</w:t>
      </w:r>
      <w:proofErr w:type="spellEnd"/>
      <w:r w:rsidR="009848B6" w:rsidRPr="009848B6">
        <w:t>)</w:t>
      </w:r>
      <w:r w:rsidRPr="00725DA0">
        <w:rPr>
          <w:i/>
          <w:vertAlign w:val="subscript"/>
        </w:rPr>
        <w:t xml:space="preserve"> </w:t>
      </w:r>
      <w:r w:rsidRPr="00725DA0">
        <w:rPr>
          <w:rFonts w:cs="Times New Roman"/>
          <w:i/>
        </w:rPr>
        <w:t>∙</w:t>
      </w:r>
      <w:r w:rsidRPr="00725DA0">
        <w:rPr>
          <w:i/>
        </w:rPr>
        <w:t xml:space="preserve"> </w:t>
      </w:r>
      <w:r w:rsidR="009848B6" w:rsidRPr="009848B6">
        <w:t>exp</w:t>
      </w:r>
      <w:r w:rsidR="009848B6">
        <w:t>(</w:t>
      </w:r>
      <w:r w:rsidRPr="00725DA0">
        <w:rPr>
          <w:i/>
        </w:rPr>
        <w:sym w:font="Symbol" w:char="F064"/>
      </w:r>
      <w:proofErr w:type="spellStart"/>
      <w:r w:rsidRPr="00725DA0">
        <w:rPr>
          <w:i/>
          <w:vertAlign w:val="subscript"/>
        </w:rPr>
        <w:t>s,a,y</w:t>
      </w:r>
      <w:proofErr w:type="spellEnd"/>
      <w:r w:rsidR="009848B6">
        <w:t>)</w:t>
      </w:r>
      <w:r>
        <w:tab/>
      </w:r>
      <w:r>
        <w:tab/>
      </w:r>
      <w:r>
        <w:tab/>
      </w:r>
      <w:r>
        <w:tab/>
      </w:r>
      <w:r w:rsidR="009848B6">
        <w:tab/>
        <w:t>(5)</w:t>
      </w:r>
    </w:p>
    <w:p w14:paraId="517BA39E" w14:textId="48BA901F" w:rsidR="008A49E4" w:rsidRDefault="008A49E4" w:rsidP="008A49E4">
      <w:pPr>
        <w:jc w:val="both"/>
        <w:rPr>
          <w:vertAlign w:val="subscript"/>
        </w:rPr>
      </w:pPr>
    </w:p>
    <w:p w14:paraId="360953EA" w14:textId="19F30609" w:rsidR="00725DA0" w:rsidRDefault="00725DA0" w:rsidP="008A49E4">
      <w:pPr>
        <w:jc w:val="both"/>
      </w:pPr>
      <w:r>
        <w:t>w</w:t>
      </w:r>
      <w:r w:rsidR="008A49E4">
        <w:t xml:space="preserve">here </w:t>
      </w:r>
      <w:r>
        <w:t>the</w:t>
      </w:r>
      <w:r w:rsidR="008A49E4">
        <w:t xml:space="preserve"> addition set of annual deviations </w:t>
      </w:r>
      <w:r w:rsidR="008A49E4">
        <w:sym w:font="Symbol" w:char="F064"/>
      </w:r>
      <w:r w:rsidR="008A49E4">
        <w:t xml:space="preserve"> are constrained to sum to </w:t>
      </w:r>
      <w:r>
        <w:t>zero</w:t>
      </w:r>
      <w:r w:rsidR="008A49E4">
        <w:t xml:space="preserve"> in each season </w:t>
      </w:r>
      <w:r w:rsidR="008A49E4" w:rsidRPr="00725DA0">
        <w:rPr>
          <w:i/>
        </w:rPr>
        <w:t>s</w:t>
      </w:r>
      <w:r w:rsidR="008A49E4">
        <w:t xml:space="preserve"> and area </w:t>
      </w:r>
      <w:r w:rsidR="008A49E4" w:rsidRPr="00725DA0">
        <w:rPr>
          <w:i/>
        </w:rPr>
        <w:t>a</w:t>
      </w:r>
      <w:r w:rsidR="009848B6">
        <w:t xml:space="preserve">. E.g., </w:t>
      </w:r>
      <m:oMath>
        <m:nary>
          <m:naryPr>
            <m:chr m:val="∑"/>
            <m:limLoc m:val="subSup"/>
            <m:supHide m:val="1"/>
            <m:ctrlPr>
              <w:rPr>
                <w:rFonts w:ascii="Cambria Math" w:hAnsi="Cambria Math"/>
              </w:rPr>
            </m:ctrlPr>
          </m:naryPr>
          <m:sub>
            <m:r>
              <w:rPr>
                <w:rFonts w:ascii="Cambria Math" w:hAnsi="Cambria Math"/>
              </w:rPr>
              <m:t>y</m:t>
            </m:r>
          </m:sub>
          <m:sup/>
          <m:e>
            <m:sSub>
              <m:sSubPr>
                <m:ctrlPr>
                  <w:rPr>
                    <w:rFonts w:ascii="Cambria Math" w:hAnsi="Cambria Math"/>
                    <w:i/>
                  </w:rPr>
                </m:ctrlPr>
              </m:sSubPr>
              <m:e>
                <m:r>
                  <w:rPr>
                    <w:rFonts w:ascii="Cambria Math" w:hAnsi="Cambria Math"/>
                    <w:i/>
                  </w:rPr>
                  <w:sym w:font="Symbol" w:char="F064"/>
                </m:r>
              </m:e>
              <m:sub>
                <m:r>
                  <w:rPr>
                    <w:rFonts w:ascii="Cambria Math" w:hAnsi="Cambria Math"/>
                  </w:rPr>
                  <m:t>s=1,a=1,y</m:t>
                </m:r>
              </m:sub>
            </m:sSub>
          </m:e>
        </m:nary>
        <m:r>
          <w:rPr>
            <w:rFonts w:ascii="Cambria Math" w:hAnsi="Cambria Math"/>
          </w:rPr>
          <m:t>=0</m:t>
        </m:r>
      </m:oMath>
      <w:r w:rsidR="00863FBF">
        <w:rPr>
          <w:rFonts w:eastAsiaTheme="minorEastAsia"/>
        </w:rPr>
        <w:t>.</w:t>
      </w:r>
    </w:p>
    <w:p w14:paraId="60862566" w14:textId="77777777" w:rsidR="009848B6" w:rsidRDefault="009848B6" w:rsidP="008A49E4">
      <w:pPr>
        <w:jc w:val="both"/>
      </w:pPr>
    </w:p>
    <w:p w14:paraId="41D2715E" w14:textId="1FDAE80C" w:rsidR="00725DA0" w:rsidRPr="009848B6" w:rsidRDefault="009848B6" w:rsidP="008A49E4">
      <w:pPr>
        <w:jc w:val="both"/>
      </w:pPr>
      <w:r>
        <w:t xml:space="preserve">To extent to which annual deviations </w:t>
      </w:r>
      <w:r w:rsidRPr="00725DA0">
        <w:rPr>
          <w:i/>
        </w:rPr>
        <w:sym w:font="Symbol" w:char="F064"/>
      </w:r>
      <w:r>
        <w:rPr>
          <w:i/>
        </w:rPr>
        <w:t xml:space="preserve"> </w:t>
      </w:r>
      <w:r>
        <w:t xml:space="preserve">can alter estimates of fishing mortality rate can be controlled by the lognormal standard deviation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Pr>
          <w:rFonts w:eastAsiaTheme="minorEastAsia"/>
        </w:rPr>
        <w:t xml:space="preserve"> (</w:t>
      </w:r>
      <w:r>
        <w:t>coefficient of variation</w:t>
      </w:r>
      <w:r w:rsidR="00863FBF">
        <w:t xml:space="preserve"> </w:t>
      </w:r>
      <w:r>
        <w:t>in the transformed space of Equation 5</w:t>
      </w:r>
      <w:r w:rsidR="00863FBF">
        <w:t xml:space="preserve"> and referred to as the ‘CV’ herein</w:t>
      </w:r>
      <w:r>
        <w:t xml:space="preserve">) that </w:t>
      </w:r>
      <w:r>
        <w:rPr>
          <w:rFonts w:eastAsiaTheme="minorEastAsia"/>
        </w:rPr>
        <w:t>controls the magnitude of the negative log-likelihood of penalty:</w:t>
      </w:r>
      <w:r>
        <w:t xml:space="preserve"> </w:t>
      </w:r>
    </w:p>
    <w:p w14:paraId="14189D00" w14:textId="3681BABB" w:rsidR="00725DA0" w:rsidRDefault="00725DA0" w:rsidP="008A49E4">
      <w:pPr>
        <w:jc w:val="both"/>
      </w:pPr>
    </w:p>
    <w:p w14:paraId="26A43DCB" w14:textId="5FFA72C7" w:rsidR="009848B6" w:rsidRPr="009848B6" w:rsidRDefault="00446E49" w:rsidP="003C46E4">
      <w:pPr>
        <w:ind w:firstLine="720"/>
        <w:jc w:val="both"/>
      </w:pPr>
      <m:oMath>
        <m:sSub>
          <m:sSubPr>
            <m:ctrlPr>
              <w:rPr>
                <w:rFonts w:ascii="Cambria Math" w:hAnsi="Cambria Math"/>
              </w:rPr>
            </m:ctrlPr>
          </m:sSubPr>
          <m:e>
            <m:r>
              <w:rPr>
                <w:rFonts w:ascii="Cambria Math" w:hAnsi="Cambria Math"/>
              </w:rPr>
              <m:t>-lnL</m:t>
            </m:r>
          </m:e>
          <m:sub>
            <m:r>
              <w:rPr>
                <w:rFonts w:ascii="Cambria Math" w:hAnsi="Cambria Math"/>
              </w:rPr>
              <m:t>δ</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s</m:t>
            </m:r>
          </m:sub>
          <m:sup/>
          <m:e>
            <m:nary>
              <m:naryPr>
                <m:chr m:val="∑"/>
                <m:limLoc m:val="subSup"/>
                <m:supHide m:val="1"/>
                <m:ctrlPr>
                  <w:rPr>
                    <w:rFonts w:ascii="Cambria Math" w:hAnsi="Cambria Math"/>
                  </w:rPr>
                </m:ctrlPr>
              </m:naryPr>
              <m:sub>
                <m:r>
                  <w:rPr>
                    <w:rFonts w:ascii="Cambria Math" w:hAnsi="Cambria Math"/>
                  </w:rPr>
                  <m:t>a</m:t>
                </m:r>
              </m:sub>
              <m:sup/>
              <m:e>
                <m:nary>
                  <m:naryPr>
                    <m:chr m:val="∑"/>
                    <m:limLoc m:val="subSup"/>
                    <m:supHide m:val="1"/>
                    <m:ctrlPr>
                      <w:rPr>
                        <w:rFonts w:ascii="Cambria Math" w:hAnsi="Cambria Math"/>
                      </w:rPr>
                    </m:ctrlPr>
                  </m:naryPr>
                  <m:sub>
                    <m:r>
                      <w:rPr>
                        <w:rFonts w:ascii="Cambria Math" w:hAnsi="Cambria Math"/>
                      </w:rPr>
                      <m:t>y</m:t>
                    </m:r>
                  </m:sub>
                  <m:sup/>
                  <m:e>
                    <m:r>
                      <w:rPr>
                        <w:rFonts w:ascii="Cambria Math" w:hAnsi="Cambria Math"/>
                      </w:rPr>
                      <m:t>ln</m:t>
                    </m:r>
                    <m:d>
                      <m:dPr>
                        <m:ctrlPr>
                          <w:rPr>
                            <w:rFonts w:ascii="Cambria Math" w:hAnsi="Cambria Math"/>
                          </w:rPr>
                        </m:ctrlPr>
                      </m:dPr>
                      <m:e>
                        <m:sSub>
                          <m:sSubPr>
                            <m:ctrlPr>
                              <w:rPr>
                                <w:rFonts w:ascii="Cambria Math" w:hAnsi="Cambria Math"/>
                                <w:i/>
                              </w:rPr>
                            </m:ctrlPr>
                          </m:sSubPr>
                          <m:e>
                            <m:r>
                              <w:rPr>
                                <w:rFonts w:ascii="Cambria Math" w:hAnsi="Cambria Math"/>
                              </w:rPr>
                              <m:t>σ</m:t>
                            </m:r>
                          </m:e>
                          <m:sub>
                            <m:r>
                              <w:rPr>
                                <w:rFonts w:ascii="Cambria Math" w:hAnsi="Cambria Math"/>
                              </w:rPr>
                              <m:t>δ</m:t>
                            </m:r>
                          </m:sub>
                        </m:sSub>
                      </m:e>
                    </m:d>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s,a,y</m:t>
                                    </m:r>
                                  </m:sub>
                                </m:sSub>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δ</m:t>
                                </m:r>
                              </m:sub>
                            </m:sSub>
                          </m:e>
                          <m:sup>
                            <m:r>
                              <w:rPr>
                                <w:rFonts w:ascii="Cambria Math" w:hAnsi="Cambria Math"/>
                              </w:rPr>
                              <m:t>2</m:t>
                            </m:r>
                          </m:sup>
                        </m:sSup>
                      </m:den>
                    </m:f>
                  </m:e>
                </m:nary>
              </m:e>
            </m:nary>
          </m:e>
        </m:nary>
      </m:oMath>
      <w:r w:rsidR="009848B6" w:rsidRPr="009848B6">
        <w:tab/>
      </w:r>
      <w:r w:rsidR="009848B6" w:rsidRPr="009848B6">
        <w:tab/>
      </w:r>
      <w:r w:rsidR="009848B6" w:rsidRPr="009848B6">
        <w:tab/>
      </w:r>
      <w:r w:rsidR="00863FBF">
        <w:tab/>
      </w:r>
      <w:r w:rsidR="00863FBF">
        <w:tab/>
      </w:r>
      <w:r w:rsidR="009848B6" w:rsidRPr="009848B6">
        <w:t>(</w:t>
      </w:r>
      <w:r w:rsidR="009848B6">
        <w:t>6</w:t>
      </w:r>
      <w:r w:rsidR="009848B6" w:rsidRPr="009848B6">
        <w:t>)</w:t>
      </w:r>
    </w:p>
    <w:p w14:paraId="1E1BE1C4" w14:textId="77777777" w:rsidR="009848B6" w:rsidRDefault="009848B6" w:rsidP="008A49E4">
      <w:pPr>
        <w:jc w:val="both"/>
      </w:pPr>
    </w:p>
    <w:p w14:paraId="6C9585E6" w14:textId="3F601E11" w:rsidR="00725DA0" w:rsidRDefault="00725DA0" w:rsidP="008A49E4">
      <w:pPr>
        <w:jc w:val="both"/>
      </w:pPr>
      <w:r>
        <w:t xml:space="preserve">Parameterizing the problem as a mean </w:t>
      </w:r>
      <w:r w:rsidR="00863FBF">
        <w:t xml:space="preserve">spatial-seasonal </w:t>
      </w:r>
      <w:r>
        <w:t xml:space="preserve">deviation </w:t>
      </w:r>
      <w:r w:rsidRPr="00725DA0">
        <w:rPr>
          <w:rFonts w:cs="Times New Roman"/>
          <w:i/>
        </w:rPr>
        <w:t>θ</w:t>
      </w:r>
      <w:r>
        <w:rPr>
          <w:rFonts w:cs="Times New Roman"/>
          <w:i/>
        </w:rPr>
        <w:t xml:space="preserve"> </w:t>
      </w:r>
      <w:r>
        <w:rPr>
          <w:rFonts w:cs="Times New Roman"/>
        </w:rPr>
        <w:t xml:space="preserve">with annual deviations </w:t>
      </w:r>
      <w:r w:rsidRPr="00725DA0">
        <w:rPr>
          <w:i/>
        </w:rPr>
        <w:sym w:font="Symbol" w:char="F064"/>
      </w:r>
      <w:r>
        <w:rPr>
          <w:i/>
        </w:rPr>
        <w:t xml:space="preserve"> </w:t>
      </w:r>
      <w:r>
        <w:t>is highly desirable</w:t>
      </w:r>
      <w:r w:rsidR="009848B6">
        <w:t>:</w:t>
      </w:r>
      <w:r>
        <w:t xml:space="preserve"> it prevents the estimation of a large number of positively correlated annual </w:t>
      </w:r>
      <w:r w:rsidR="00863FBF">
        <w:t>parameters that would hamper</w:t>
      </w:r>
      <w:r>
        <w:t xml:space="preserve"> convergence</w:t>
      </w:r>
      <w:r w:rsidR="00863FBF">
        <w:t xml:space="preserve"> in both </w:t>
      </w:r>
      <w:r w:rsidR="00784AC7">
        <w:t>maximum posterior density (MPD)</w:t>
      </w:r>
      <w:r w:rsidR="00863FBF">
        <w:t xml:space="preserve"> estimation</w:t>
      </w:r>
      <w:r>
        <w:t xml:space="preserve"> and MCMC sampling.</w:t>
      </w:r>
    </w:p>
    <w:p w14:paraId="42BB58F6" w14:textId="77777777" w:rsidR="00725DA0" w:rsidRPr="00725DA0" w:rsidRDefault="00725DA0" w:rsidP="008A49E4">
      <w:pPr>
        <w:jc w:val="both"/>
      </w:pPr>
    </w:p>
    <w:p w14:paraId="3837C510" w14:textId="2E049BD5" w:rsidR="008A49E4" w:rsidRDefault="00725DA0" w:rsidP="008A49E4">
      <w:pPr>
        <w:jc w:val="both"/>
      </w:pPr>
      <w:r>
        <w:t>The</w:t>
      </w:r>
      <w:r w:rsidR="008A49E4">
        <w:t xml:space="preserve"> approach </w:t>
      </w:r>
      <w:r>
        <w:t xml:space="preserve">of Equation </w:t>
      </w:r>
      <w:r w:rsidR="009848B6">
        <w:t>5</w:t>
      </w:r>
      <w:r>
        <w:t xml:space="preserve">, </w:t>
      </w:r>
      <w:r w:rsidR="008A49E4">
        <w:t xml:space="preserve">adds a further 1428 parameters to the estimation allowing the model to be updated by indices whilst also fitting the catches. </w:t>
      </w:r>
      <w:r>
        <w:t>This still represents a very large</w:t>
      </w:r>
      <w:r w:rsidR="008A49E4">
        <w:t xml:space="preserve"> reduction in total estimated parameters (</w:t>
      </w:r>
      <w:r w:rsidR="009848B6">
        <w:t xml:space="preserve">in total, </w:t>
      </w:r>
      <w:r w:rsidR="008A49E4">
        <w:t xml:space="preserve">15 fleet </w:t>
      </w:r>
      <w:proofErr w:type="spellStart"/>
      <w:r w:rsidR="008A49E4">
        <w:t>catchabilties</w:t>
      </w:r>
      <w:proofErr w:type="spellEnd"/>
      <w:r w:rsidR="008A49E4">
        <w:t xml:space="preserve"> </w:t>
      </w:r>
      <w:r w:rsidR="009848B6" w:rsidRPr="009848B6">
        <w:rPr>
          <w:i/>
        </w:rPr>
        <w:t>q</w:t>
      </w:r>
      <w:r w:rsidR="009848B6">
        <w:t xml:space="preserve">, </w:t>
      </w:r>
      <w:r w:rsidR="008A49E4">
        <w:t xml:space="preserve">27 season-area deviations </w:t>
      </w:r>
      <w:r w:rsidR="008A49E4" w:rsidRPr="009848B6">
        <w:rPr>
          <w:rFonts w:cs="Times New Roman"/>
          <w:i/>
        </w:rPr>
        <w:t>θ</w:t>
      </w:r>
      <w:r w:rsidR="008A49E4">
        <w:t xml:space="preserve">, 1428 annual deviations </w:t>
      </w:r>
      <w:r w:rsidR="008A49E4" w:rsidRPr="009848B6">
        <w:rPr>
          <w:i/>
        </w:rPr>
        <w:sym w:font="Symbol" w:char="F064"/>
      </w:r>
      <w:r w:rsidR="008A49E4">
        <w:t xml:space="preserve">) </w:t>
      </w:r>
      <w:r>
        <w:t>from the</w:t>
      </w:r>
      <w:r w:rsidR="008A49E4">
        <w:t xml:space="preserve"> total number of possible </w:t>
      </w:r>
      <w:r w:rsidR="008A49E4" w:rsidRPr="00725DA0">
        <w:rPr>
          <w:i/>
        </w:rPr>
        <w:t>F</w:t>
      </w:r>
      <w:r w:rsidR="008A49E4">
        <w:t xml:space="preserve"> values (21,840).</w:t>
      </w:r>
      <w:r>
        <w:t xml:space="preserve"> This model parsimony is achieved in Equation 1</w:t>
      </w:r>
      <w:r w:rsidR="008A49E4">
        <w:t xml:space="preserve"> when the relative fishing mortality rate among fleets is </w:t>
      </w:r>
      <w:r>
        <w:t>determined</w:t>
      </w:r>
      <w:r w:rsidR="008A49E4">
        <w:t xml:space="preserve"> </w:t>
      </w:r>
      <w:r w:rsidR="009848B6">
        <w:t>by their relative catch level</w:t>
      </w:r>
      <w:r w:rsidR="008A49E4">
        <w:t xml:space="preserve">s in each year, season and area. </w:t>
      </w:r>
    </w:p>
    <w:p w14:paraId="01DB078F" w14:textId="235F9C06" w:rsidR="007645E9" w:rsidRDefault="007645E9" w:rsidP="008A49E4">
      <w:pPr>
        <w:jc w:val="both"/>
      </w:pPr>
    </w:p>
    <w:p w14:paraId="25F14F53" w14:textId="1EF8CB29" w:rsidR="007645E9" w:rsidRPr="008A49E4" w:rsidRDefault="00863FBF" w:rsidP="008A49E4">
      <w:pPr>
        <w:jc w:val="both"/>
      </w:pPr>
      <w:r>
        <w:rPr>
          <w:rFonts w:eastAsiaTheme="minorEastAsia"/>
        </w:rPr>
        <w:t xml:space="preserve">To preclude detailed </w:t>
      </w:r>
      <w:proofErr w:type="spellStart"/>
      <w:r w:rsidRPr="00863FBF">
        <w:rPr>
          <w:rFonts w:eastAsiaTheme="minorEastAsia"/>
          <w:i/>
        </w:rPr>
        <w:t>apriori</w:t>
      </w:r>
      <w:proofErr w:type="spellEnd"/>
      <w:r>
        <w:rPr>
          <w:rFonts w:eastAsiaTheme="minorEastAsia"/>
        </w:rPr>
        <w:t xml:space="preserve"> evaluation of the assumptions and techniques used to construct the master index (which has not occurred in the Bluefin MSE process) it would be desirable for model estimates to be determined only by the data vetted by ICCAT – that model estimates are essentially invariant to the choice of master index. </w:t>
      </w:r>
      <w:r w:rsidR="007645E9">
        <w:t xml:space="preserve">The purpose of this paper is to investigate the new model formulation expressed in Equation 5 and evaluate the influence of the Master Index on posterior model estimates. In this paper I construct three Master Indices of varying spatio-temporal magnitude and trend and then evaluate whether model predictions converge as the penalty on annual deviations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sidR="007645E9">
        <w:rPr>
          <w:rFonts w:eastAsiaTheme="minorEastAsia"/>
        </w:rPr>
        <w:t xml:space="preserve"> increases. The overarching question is: are M3 model predictions strongly affected by the choice of master index</w:t>
      </w:r>
      <w:r>
        <w:rPr>
          <w:rFonts w:eastAsiaTheme="minorEastAsia"/>
        </w:rPr>
        <w:t xml:space="preserve">? </w:t>
      </w:r>
    </w:p>
    <w:p w14:paraId="38C1DA6C" w14:textId="77777777" w:rsidR="001B088B" w:rsidRDefault="001B088B" w:rsidP="004E74D3">
      <w:pPr>
        <w:jc w:val="both"/>
      </w:pPr>
    </w:p>
    <w:p w14:paraId="39D0E76A" w14:textId="0464255F" w:rsidR="00EB7F5A" w:rsidRDefault="006406DB" w:rsidP="005874D9">
      <w:pPr>
        <w:jc w:val="both"/>
      </w:pPr>
      <w:r>
        <w:t xml:space="preserve"> </w:t>
      </w:r>
    </w:p>
    <w:p w14:paraId="2A0890EC" w14:textId="24805A29" w:rsidR="002F5DBD" w:rsidRDefault="003173A4" w:rsidP="002F5DBD">
      <w:pPr>
        <w:pStyle w:val="Heading1"/>
      </w:pPr>
      <w:r>
        <w:t>Methods</w:t>
      </w:r>
    </w:p>
    <w:p w14:paraId="45F5C704" w14:textId="4A179A52" w:rsidR="008A0BF5" w:rsidRDefault="008A0BF5" w:rsidP="0058379D">
      <w:pPr>
        <w:jc w:val="both"/>
      </w:pPr>
    </w:p>
    <w:p w14:paraId="0A0216F7" w14:textId="4C947718" w:rsidR="00E54C61" w:rsidRPr="007645E9" w:rsidRDefault="00863FBF" w:rsidP="0058379D">
      <w:pPr>
        <w:jc w:val="both"/>
        <w:rPr>
          <w:b/>
          <w:i/>
        </w:rPr>
      </w:pPr>
      <w:r>
        <w:rPr>
          <w:b/>
          <w:i/>
        </w:rPr>
        <w:t>2.1. Master Index ‘GLM’</w:t>
      </w:r>
    </w:p>
    <w:p w14:paraId="3367AB28" w14:textId="77777777" w:rsidR="007645E9" w:rsidRDefault="007645E9" w:rsidP="0058379D">
      <w:pPr>
        <w:jc w:val="both"/>
      </w:pPr>
    </w:p>
    <w:p w14:paraId="04DCB223" w14:textId="2BBC041B" w:rsidR="00863FBF" w:rsidRDefault="00863FBF" w:rsidP="00BE1E57">
      <w:pPr>
        <w:jc w:val="both"/>
      </w:pPr>
      <w:r>
        <w:t>A Master Index was constructed as previously (</w:t>
      </w:r>
      <w:r w:rsidRPr="00863FBF">
        <w:rPr>
          <w:rFonts w:cs="Times New Roman"/>
          <w:szCs w:val="20"/>
          <w:lang w:val="en-ZA"/>
        </w:rPr>
        <w:t>for more detail on this approach see Carruthers 2017, SCRS/2017/019</w:t>
      </w:r>
      <w:r>
        <w:t>) that fits a generalized linear model to nominal catch per unit effort data (ICCAT Task II data) to quantify spatio-temporal magnitude of the indices (Table 1), and fishery-independent and fishery-dependent indices used in the M3 model to determine regional trends (Table 2):</w:t>
      </w:r>
    </w:p>
    <w:p w14:paraId="71B34F5D" w14:textId="35786E05" w:rsidR="00863FBF" w:rsidRPr="00863FBF" w:rsidRDefault="00863FBF" w:rsidP="00BE1E57">
      <w:pPr>
        <w:jc w:val="both"/>
        <w:rPr>
          <w:szCs w:val="20"/>
        </w:rPr>
      </w:pPr>
    </w:p>
    <w:p w14:paraId="687A4AEC" w14:textId="77777777" w:rsidR="00863FBF" w:rsidRPr="00863FBF" w:rsidRDefault="00863FBF" w:rsidP="00863FBF">
      <w:pPr>
        <w:jc w:val="both"/>
        <w:rPr>
          <w:rFonts w:cs="Times New Roman"/>
          <w:szCs w:val="20"/>
          <w:lang w:val="en-ZA"/>
        </w:rPr>
      </w:pPr>
    </w:p>
    <w:p w14:paraId="369935E6" w14:textId="1437A0FE" w:rsidR="00863FBF" w:rsidRPr="00863FBF" w:rsidRDefault="00446E49" w:rsidP="003C46E4">
      <w:pPr>
        <w:ind w:firstLine="720"/>
        <w:jc w:val="both"/>
        <w:rPr>
          <w:rFonts w:eastAsiaTheme="minorEastAsia" w:cs="Times New Roman"/>
          <w:szCs w:val="20"/>
          <w:lang w:val="en-ZA"/>
        </w:rPr>
      </w:pPr>
      <m:oMath>
        <m:func>
          <m:funcPr>
            <m:ctrlPr>
              <w:rPr>
                <w:rFonts w:ascii="Cambria Math" w:hAnsi="Cambria Math" w:cs="Times New Roman"/>
                <w:szCs w:val="20"/>
                <w:lang w:val="en-ZA"/>
              </w:rPr>
            </m:ctrlPr>
          </m:funcPr>
          <m:fName>
            <m:r>
              <m:rPr>
                <m:sty m:val="p"/>
              </m:rPr>
              <w:rPr>
                <w:rFonts w:ascii="Cambria Math" w:hAnsi="Cambria Math" w:cs="Times New Roman"/>
                <w:szCs w:val="20"/>
                <w:lang w:val="en-ZA"/>
              </w:rPr>
              <m:t>ln</m:t>
            </m:r>
          </m:fName>
          <m:e>
            <m:d>
              <m:dPr>
                <m:ctrlPr>
                  <w:rPr>
                    <w:rFonts w:ascii="Cambria Math" w:hAnsi="Cambria Math" w:cs="Times New Roman"/>
                    <w:i/>
                    <w:szCs w:val="20"/>
                    <w:lang w:val="en-ZA"/>
                  </w:rPr>
                </m:ctrlPr>
              </m:dPr>
              <m:e>
                <m:sSub>
                  <m:sSubPr>
                    <m:ctrlPr>
                      <w:rPr>
                        <w:rFonts w:ascii="Cambria Math" w:hAnsi="Cambria Math" w:cs="Times New Roman"/>
                        <w:i/>
                        <w:szCs w:val="20"/>
                        <w:lang w:val="en-ZA"/>
                      </w:rPr>
                    </m:ctrlPr>
                  </m:sSubPr>
                  <m:e>
                    <m:r>
                      <w:rPr>
                        <w:rFonts w:ascii="Cambria Math" w:hAnsi="Cambria Math" w:cs="Times New Roman"/>
                        <w:szCs w:val="20"/>
                        <w:lang w:val="en-ZA"/>
                      </w:rPr>
                      <m:t>CPUE</m:t>
                    </m:r>
                  </m:e>
                  <m:sub>
                    <m:r>
                      <w:rPr>
                        <w:rFonts w:ascii="Cambria Math" w:hAnsi="Cambria Math" w:cs="Times New Roman"/>
                        <w:szCs w:val="20"/>
                        <w:lang w:val="en-ZA"/>
                      </w:rPr>
                      <m:t>y,a,s,f</m:t>
                    </m:r>
                  </m:sub>
                </m:sSub>
              </m:e>
            </m:d>
          </m:e>
        </m:func>
        <m:r>
          <w:rPr>
            <w:rFonts w:ascii="Cambria Math" w:hAnsi="Cambria Math" w:cs="Times New Roman"/>
            <w:szCs w:val="20"/>
            <w:lang w:val="en-ZA"/>
          </w:rPr>
          <m:t>=</m:t>
        </m:r>
        <m:sSub>
          <m:sSubPr>
            <m:ctrlPr>
              <w:rPr>
                <w:rFonts w:ascii="Cambria Math" w:hAnsi="Cambria Math" w:cs="Times New Roman"/>
                <w:i/>
                <w:szCs w:val="20"/>
                <w:lang w:val="en-ZA"/>
              </w:rPr>
            </m:ctrlPr>
          </m:sSubPr>
          <m:e>
            <m:r>
              <w:rPr>
                <w:rFonts w:ascii="Cambria Math" w:hAnsi="Cambria Math" w:cs="Times New Roman"/>
                <w:szCs w:val="20"/>
                <w:lang w:val="en-ZA"/>
              </w:rPr>
              <m:t>α</m:t>
            </m:r>
          </m:e>
          <m:sub>
            <m:r>
              <w:rPr>
                <w:rFonts w:ascii="Cambria Math" w:hAnsi="Cambria Math" w:cs="Times New Roman"/>
                <w:szCs w:val="20"/>
                <w:lang w:val="en-ZA"/>
              </w:rPr>
              <m:t>y,a</m:t>
            </m:r>
          </m:sub>
        </m:sSub>
        <m:r>
          <w:rPr>
            <w:rFonts w:ascii="Cambria Math" w:hAnsi="Cambria Math" w:cs="Times New Roman"/>
            <w:szCs w:val="20"/>
            <w:lang w:val="en-ZA"/>
          </w:rPr>
          <m:t>+</m:t>
        </m:r>
        <m:sSub>
          <m:sSubPr>
            <m:ctrlPr>
              <w:rPr>
                <w:rFonts w:ascii="Cambria Math" w:hAnsi="Cambria Math" w:cs="Times New Roman"/>
                <w:i/>
                <w:szCs w:val="20"/>
                <w:lang w:val="en-ZA"/>
              </w:rPr>
            </m:ctrlPr>
          </m:sSubPr>
          <m:e>
            <m:r>
              <w:rPr>
                <w:rFonts w:ascii="Cambria Math" w:hAnsi="Cambria Math" w:cs="Times New Roman"/>
                <w:szCs w:val="20"/>
                <w:lang w:val="en-ZA"/>
              </w:rPr>
              <m:t>β</m:t>
            </m:r>
          </m:e>
          <m:sub>
            <m:r>
              <w:rPr>
                <w:rFonts w:ascii="Cambria Math" w:hAnsi="Cambria Math" w:cs="Times New Roman"/>
                <w:szCs w:val="20"/>
                <w:lang w:val="en-ZA"/>
              </w:rPr>
              <m:t>s,a</m:t>
            </m:r>
          </m:sub>
        </m:sSub>
        <m:r>
          <w:rPr>
            <w:rFonts w:ascii="Cambria Math" w:hAnsi="Cambria Math" w:cs="Times New Roman"/>
            <w:szCs w:val="20"/>
            <w:lang w:val="en-ZA"/>
          </w:rPr>
          <m:t>+</m:t>
        </m:r>
        <m:sSub>
          <m:sSubPr>
            <m:ctrlPr>
              <w:rPr>
                <w:rFonts w:ascii="Cambria Math" w:hAnsi="Cambria Math" w:cs="Times New Roman"/>
                <w:i/>
                <w:szCs w:val="20"/>
                <w:lang w:val="en-ZA"/>
              </w:rPr>
            </m:ctrlPr>
          </m:sSubPr>
          <m:e>
            <m:r>
              <w:rPr>
                <w:rFonts w:ascii="Cambria Math" w:hAnsi="Cambria Math" w:cs="Times New Roman"/>
                <w:szCs w:val="20"/>
                <w:lang w:val="en-ZA"/>
              </w:rPr>
              <m:t>δ</m:t>
            </m:r>
          </m:e>
          <m:sub>
            <m:r>
              <w:rPr>
                <w:rFonts w:ascii="Cambria Math" w:hAnsi="Cambria Math" w:cs="Times New Roman"/>
                <w:szCs w:val="20"/>
                <w:lang w:val="en-ZA"/>
              </w:rPr>
              <m:t>f,a</m:t>
            </m:r>
          </m:sub>
        </m:sSub>
        <m:r>
          <w:rPr>
            <w:rFonts w:ascii="Cambria Math" w:hAnsi="Cambria Math" w:cs="Times New Roman"/>
            <w:szCs w:val="20"/>
            <w:lang w:val="en-ZA"/>
          </w:rPr>
          <m:t>+ε</m:t>
        </m:r>
      </m:oMath>
      <w:r w:rsidR="00863FBF">
        <w:rPr>
          <w:rFonts w:eastAsiaTheme="minorEastAsia" w:cs="Times New Roman"/>
          <w:szCs w:val="20"/>
          <w:lang w:val="en-ZA"/>
        </w:rPr>
        <w:t xml:space="preserve"> </w:t>
      </w:r>
      <w:r w:rsidR="00863FBF">
        <w:rPr>
          <w:rFonts w:eastAsiaTheme="minorEastAsia" w:cs="Times New Roman"/>
          <w:szCs w:val="20"/>
          <w:lang w:val="en-ZA"/>
        </w:rPr>
        <w:tab/>
      </w:r>
      <w:r w:rsidR="00863FBF">
        <w:rPr>
          <w:rFonts w:eastAsiaTheme="minorEastAsia" w:cs="Times New Roman"/>
          <w:szCs w:val="20"/>
          <w:lang w:val="en-ZA"/>
        </w:rPr>
        <w:tab/>
      </w:r>
      <w:r w:rsidR="00863FBF">
        <w:rPr>
          <w:rFonts w:eastAsiaTheme="minorEastAsia" w:cs="Times New Roman"/>
          <w:szCs w:val="20"/>
          <w:lang w:val="en-ZA"/>
        </w:rPr>
        <w:tab/>
      </w:r>
      <w:r w:rsidR="00863FBF">
        <w:rPr>
          <w:rFonts w:eastAsiaTheme="minorEastAsia" w:cs="Times New Roman"/>
          <w:szCs w:val="20"/>
          <w:lang w:val="en-ZA"/>
        </w:rPr>
        <w:tab/>
      </w:r>
      <w:r w:rsidR="00863FBF">
        <w:rPr>
          <w:rFonts w:eastAsiaTheme="minorEastAsia" w:cs="Times New Roman"/>
          <w:szCs w:val="20"/>
          <w:lang w:val="en-ZA"/>
        </w:rPr>
        <w:tab/>
        <w:t>(7</w:t>
      </w:r>
      <w:r w:rsidR="00863FBF" w:rsidRPr="00863FBF">
        <w:rPr>
          <w:rFonts w:eastAsiaTheme="minorEastAsia" w:cs="Times New Roman"/>
          <w:szCs w:val="20"/>
          <w:lang w:val="en-ZA"/>
        </w:rPr>
        <w:t>)</w:t>
      </w:r>
    </w:p>
    <w:p w14:paraId="2EB57D31" w14:textId="77777777" w:rsidR="00863FBF" w:rsidRPr="00863FBF" w:rsidRDefault="00863FBF" w:rsidP="00863FBF">
      <w:pPr>
        <w:jc w:val="both"/>
        <w:rPr>
          <w:rFonts w:eastAsiaTheme="minorEastAsia" w:cs="Times New Roman"/>
          <w:szCs w:val="20"/>
          <w:lang w:val="en-ZA"/>
        </w:rPr>
      </w:pPr>
    </w:p>
    <w:p w14:paraId="59FD001E" w14:textId="355BDD73" w:rsidR="00863FBF" w:rsidRPr="00863FBF" w:rsidRDefault="00863FBF" w:rsidP="00863FBF">
      <w:pPr>
        <w:jc w:val="both"/>
        <w:rPr>
          <w:rFonts w:cs="Times New Roman"/>
          <w:szCs w:val="20"/>
          <w:lang w:val="en-ZA"/>
        </w:rPr>
      </w:pPr>
      <w:r w:rsidRPr="00863FBF">
        <w:rPr>
          <w:rFonts w:cs="Times New Roman"/>
          <w:szCs w:val="20"/>
          <w:lang w:val="en-ZA"/>
        </w:rPr>
        <w:t xml:space="preserve">where </w:t>
      </w:r>
      <w:r w:rsidRPr="00863FBF">
        <w:rPr>
          <w:rFonts w:cs="Times New Roman"/>
          <w:i/>
          <w:szCs w:val="20"/>
          <w:lang w:val="en-ZA"/>
        </w:rPr>
        <w:t>y</w:t>
      </w:r>
      <w:r w:rsidRPr="00863FBF">
        <w:rPr>
          <w:rFonts w:cs="Times New Roman"/>
          <w:szCs w:val="20"/>
          <w:lang w:val="en-ZA"/>
        </w:rPr>
        <w:t xml:space="preserve">, </w:t>
      </w:r>
      <w:r>
        <w:rPr>
          <w:rFonts w:cs="Times New Roman"/>
          <w:i/>
          <w:szCs w:val="20"/>
          <w:lang w:val="en-ZA"/>
        </w:rPr>
        <w:t>a</w:t>
      </w:r>
      <w:r w:rsidRPr="00863FBF">
        <w:rPr>
          <w:rFonts w:cs="Times New Roman"/>
          <w:szCs w:val="20"/>
          <w:lang w:val="en-ZA"/>
        </w:rPr>
        <w:t xml:space="preserve">, </w:t>
      </w:r>
      <w:r>
        <w:rPr>
          <w:rFonts w:cs="Times New Roman"/>
          <w:i/>
          <w:szCs w:val="20"/>
          <w:lang w:val="en-ZA"/>
        </w:rPr>
        <w:t>s</w:t>
      </w:r>
      <w:r w:rsidRPr="00863FBF">
        <w:rPr>
          <w:rFonts w:cs="Times New Roman"/>
          <w:szCs w:val="20"/>
          <w:lang w:val="en-ZA"/>
        </w:rPr>
        <w:t xml:space="preserve"> and</w:t>
      </w:r>
      <w:r w:rsidRPr="00863FBF">
        <w:rPr>
          <w:rFonts w:cs="Times New Roman"/>
          <w:i/>
          <w:szCs w:val="20"/>
          <w:lang w:val="en-ZA"/>
        </w:rPr>
        <w:t xml:space="preserve"> f</w:t>
      </w:r>
      <w:r w:rsidRPr="00863FBF">
        <w:rPr>
          <w:rFonts w:cs="Times New Roman"/>
          <w:szCs w:val="20"/>
          <w:lang w:val="en-ZA"/>
        </w:rPr>
        <w:t xml:space="preserve"> refer to years, areas, quarters and </w:t>
      </w:r>
      <w:r>
        <w:rPr>
          <w:rFonts w:cs="Times New Roman"/>
          <w:szCs w:val="20"/>
          <w:lang w:val="en-ZA"/>
        </w:rPr>
        <w:t>fleets</w:t>
      </w:r>
      <w:r w:rsidRPr="00863FBF">
        <w:rPr>
          <w:rFonts w:cs="Times New Roman"/>
          <w:szCs w:val="20"/>
          <w:lang w:val="en-ZA"/>
        </w:rPr>
        <w:t xml:space="preserve">, respectively. </w:t>
      </w:r>
    </w:p>
    <w:p w14:paraId="59FA5630" w14:textId="77777777" w:rsidR="00863FBF" w:rsidRPr="00863FBF" w:rsidRDefault="00863FBF" w:rsidP="00863FBF">
      <w:pPr>
        <w:jc w:val="both"/>
        <w:rPr>
          <w:rFonts w:cs="Times New Roman"/>
          <w:szCs w:val="20"/>
          <w:lang w:val="en-ZA"/>
        </w:rPr>
      </w:pPr>
    </w:p>
    <w:p w14:paraId="0F90B1FD" w14:textId="77777777" w:rsidR="00863FBF" w:rsidRPr="00863FBF" w:rsidRDefault="00863FBF" w:rsidP="00863FBF">
      <w:pPr>
        <w:jc w:val="both"/>
        <w:rPr>
          <w:rFonts w:cs="Times New Roman"/>
          <w:szCs w:val="20"/>
          <w:lang w:val="en-ZA"/>
        </w:rPr>
      </w:pPr>
    </w:p>
    <w:p w14:paraId="3D08F879" w14:textId="16E03DBE" w:rsidR="00863FBF" w:rsidRPr="00863FBF" w:rsidRDefault="00863FBF" w:rsidP="00863FBF">
      <w:pPr>
        <w:keepNext/>
        <w:keepLines/>
        <w:jc w:val="both"/>
        <w:rPr>
          <w:rFonts w:cs="Times New Roman"/>
          <w:b/>
          <w:i/>
          <w:color w:val="FF0000"/>
          <w:szCs w:val="20"/>
          <w:lang w:val="en-ZA"/>
        </w:rPr>
      </w:pPr>
      <w:r w:rsidRPr="00863FBF">
        <w:rPr>
          <w:rFonts w:cs="Times New Roman"/>
          <w:b/>
          <w:szCs w:val="20"/>
          <w:lang w:val="en-ZA"/>
        </w:rPr>
        <w:t>Table 1.</w:t>
      </w:r>
      <w:r w:rsidRPr="00863FBF">
        <w:rPr>
          <w:rFonts w:cs="Times New Roman"/>
          <w:szCs w:val="20"/>
          <w:lang w:val="en-ZA"/>
        </w:rPr>
        <w:t xml:space="preserve"> The Task II CPUE data used to derive the </w:t>
      </w:r>
      <w:r>
        <w:rPr>
          <w:rFonts w:cs="Times New Roman"/>
          <w:szCs w:val="20"/>
          <w:lang w:val="en-ZA"/>
        </w:rPr>
        <w:t xml:space="preserve">regional – seasonal magnitude of the ‘GLM’ </w:t>
      </w:r>
      <w:r w:rsidRPr="00863FBF">
        <w:rPr>
          <w:rFonts w:cs="Times New Roman"/>
          <w:szCs w:val="20"/>
          <w:lang w:val="en-ZA"/>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863FBF" w:rsidRPr="00863FBF" w14:paraId="2EE7A7E5" w14:textId="77777777" w:rsidTr="00B77FE0">
        <w:trPr>
          <w:trHeight w:val="269"/>
        </w:trPr>
        <w:tc>
          <w:tcPr>
            <w:tcW w:w="2694" w:type="dxa"/>
            <w:tcBorders>
              <w:top w:val="single" w:sz="4" w:space="0" w:color="auto"/>
              <w:bottom w:val="single" w:sz="4" w:space="0" w:color="auto"/>
            </w:tcBorders>
            <w:shd w:val="clear" w:color="auto" w:fill="FFFFFF" w:themeFill="background1"/>
          </w:tcPr>
          <w:p w14:paraId="1C311153" w14:textId="77777777" w:rsidR="00863FBF" w:rsidRPr="00863FBF" w:rsidRDefault="00863FBF" w:rsidP="00863FBF">
            <w:pPr>
              <w:keepNext/>
              <w:keepLines/>
              <w:jc w:val="both"/>
              <w:rPr>
                <w:rFonts w:cs="Times New Roman"/>
                <w:b/>
                <w:szCs w:val="20"/>
              </w:rPr>
            </w:pPr>
            <w:r w:rsidRPr="00863FBF">
              <w:rPr>
                <w:rFonts w:cs="Times New Roman"/>
                <w:szCs w:val="20"/>
              </w:rPr>
              <w:t xml:space="preserve"> </w:t>
            </w:r>
            <w:r w:rsidRPr="00863FBF">
              <w:rPr>
                <w:rFonts w:cs="Times New Roman"/>
                <w:b/>
                <w:szCs w:val="20"/>
              </w:rPr>
              <w:t>Flag</w:t>
            </w:r>
          </w:p>
        </w:tc>
        <w:tc>
          <w:tcPr>
            <w:tcW w:w="1842" w:type="dxa"/>
            <w:tcBorders>
              <w:top w:val="single" w:sz="4" w:space="0" w:color="auto"/>
              <w:bottom w:val="single" w:sz="4" w:space="0" w:color="auto"/>
            </w:tcBorders>
            <w:shd w:val="clear" w:color="auto" w:fill="FFFFFF" w:themeFill="background1"/>
          </w:tcPr>
          <w:p w14:paraId="21726F0D" w14:textId="77777777" w:rsidR="00863FBF" w:rsidRPr="00863FBF" w:rsidRDefault="00863FBF" w:rsidP="00863FBF">
            <w:pPr>
              <w:keepNext/>
              <w:keepLines/>
              <w:jc w:val="center"/>
              <w:rPr>
                <w:rFonts w:cs="Times New Roman"/>
                <w:b/>
                <w:szCs w:val="20"/>
              </w:rPr>
            </w:pPr>
            <w:r w:rsidRPr="00863FBF">
              <w:rPr>
                <w:rFonts w:cs="Times New Roman"/>
                <w:b/>
                <w:szCs w:val="20"/>
              </w:rPr>
              <w:t>Gear</w:t>
            </w:r>
          </w:p>
        </w:tc>
        <w:tc>
          <w:tcPr>
            <w:tcW w:w="2977" w:type="dxa"/>
            <w:tcBorders>
              <w:top w:val="single" w:sz="4" w:space="0" w:color="auto"/>
              <w:bottom w:val="single" w:sz="4" w:space="0" w:color="auto"/>
            </w:tcBorders>
            <w:shd w:val="clear" w:color="auto" w:fill="FFFFFF" w:themeFill="background1"/>
          </w:tcPr>
          <w:p w14:paraId="3E1B0DA7" w14:textId="77777777" w:rsidR="00863FBF" w:rsidRPr="00863FBF" w:rsidRDefault="00863FBF" w:rsidP="00863FBF">
            <w:pPr>
              <w:keepNext/>
              <w:keepLines/>
              <w:rPr>
                <w:rFonts w:cs="Times New Roman"/>
                <w:b/>
                <w:szCs w:val="20"/>
              </w:rPr>
            </w:pPr>
            <w:r w:rsidRPr="00863FBF">
              <w:rPr>
                <w:rFonts w:cs="Times New Roman"/>
                <w:b/>
                <w:szCs w:val="20"/>
              </w:rPr>
              <w:t>Details</w:t>
            </w:r>
          </w:p>
        </w:tc>
      </w:tr>
      <w:tr w:rsidR="00863FBF" w:rsidRPr="00863FBF" w14:paraId="340D76AE" w14:textId="77777777" w:rsidTr="00B77FE0">
        <w:tc>
          <w:tcPr>
            <w:tcW w:w="2694" w:type="dxa"/>
            <w:shd w:val="clear" w:color="auto" w:fill="FFFFFF" w:themeFill="background1"/>
          </w:tcPr>
          <w:p w14:paraId="0820C912" w14:textId="77777777" w:rsidR="00863FBF" w:rsidRPr="00863FBF" w:rsidRDefault="00863FBF" w:rsidP="00863FBF">
            <w:pPr>
              <w:keepNext/>
              <w:keepLines/>
              <w:jc w:val="both"/>
              <w:rPr>
                <w:rFonts w:cs="Times New Roman"/>
                <w:szCs w:val="20"/>
              </w:rPr>
            </w:pPr>
            <w:r w:rsidRPr="00863FBF">
              <w:rPr>
                <w:rFonts w:cs="Times New Roman"/>
                <w:szCs w:val="20"/>
              </w:rPr>
              <w:t>Japan</w:t>
            </w:r>
          </w:p>
        </w:tc>
        <w:tc>
          <w:tcPr>
            <w:tcW w:w="1842" w:type="dxa"/>
            <w:shd w:val="clear" w:color="auto" w:fill="FFFFFF" w:themeFill="background1"/>
          </w:tcPr>
          <w:p w14:paraId="6CCE78F3" w14:textId="77777777" w:rsidR="00863FBF" w:rsidRPr="00863FBF" w:rsidRDefault="00863FBF" w:rsidP="00863FBF">
            <w:pPr>
              <w:keepNext/>
              <w:keepLines/>
              <w:jc w:val="center"/>
              <w:rPr>
                <w:rFonts w:cs="Times New Roman"/>
                <w:szCs w:val="20"/>
              </w:rPr>
            </w:pPr>
            <w:r w:rsidRPr="00863FBF">
              <w:rPr>
                <w:rFonts w:cs="Times New Roman"/>
                <w:szCs w:val="20"/>
              </w:rPr>
              <w:t>Longline</w:t>
            </w:r>
          </w:p>
        </w:tc>
        <w:tc>
          <w:tcPr>
            <w:tcW w:w="2977" w:type="dxa"/>
            <w:shd w:val="clear" w:color="auto" w:fill="FFFFFF" w:themeFill="background1"/>
          </w:tcPr>
          <w:p w14:paraId="4802F212" w14:textId="77777777" w:rsidR="00863FBF" w:rsidRPr="00863FBF" w:rsidRDefault="00863FBF" w:rsidP="00863FBF">
            <w:pPr>
              <w:keepNext/>
              <w:keepLines/>
              <w:rPr>
                <w:rFonts w:cs="Times New Roman"/>
                <w:szCs w:val="20"/>
              </w:rPr>
            </w:pPr>
            <w:r w:rsidRPr="00863FBF">
              <w:rPr>
                <w:rFonts w:cs="Times New Roman"/>
                <w:szCs w:val="20"/>
              </w:rPr>
              <w:t>1.38m fish</w:t>
            </w:r>
          </w:p>
        </w:tc>
      </w:tr>
      <w:tr w:rsidR="00863FBF" w:rsidRPr="00863FBF" w14:paraId="3916585E" w14:textId="77777777" w:rsidTr="00B77FE0">
        <w:tc>
          <w:tcPr>
            <w:tcW w:w="2694" w:type="dxa"/>
            <w:shd w:val="clear" w:color="auto" w:fill="FFFFFF" w:themeFill="background1"/>
          </w:tcPr>
          <w:p w14:paraId="038EB866" w14:textId="77777777" w:rsidR="00863FBF" w:rsidRPr="00863FBF" w:rsidRDefault="00863FBF" w:rsidP="00863FBF">
            <w:pPr>
              <w:keepNext/>
              <w:keepLines/>
              <w:jc w:val="both"/>
              <w:rPr>
                <w:rFonts w:cs="Times New Roman"/>
                <w:szCs w:val="20"/>
              </w:rPr>
            </w:pPr>
            <w:r w:rsidRPr="00863FBF">
              <w:rPr>
                <w:rFonts w:cs="Times New Roman"/>
                <w:szCs w:val="20"/>
              </w:rPr>
              <w:t>USA</w:t>
            </w:r>
          </w:p>
        </w:tc>
        <w:tc>
          <w:tcPr>
            <w:tcW w:w="1842" w:type="dxa"/>
            <w:shd w:val="clear" w:color="auto" w:fill="FFFFFF" w:themeFill="background1"/>
          </w:tcPr>
          <w:p w14:paraId="1544C399" w14:textId="77777777" w:rsidR="00863FBF" w:rsidRPr="00863FBF" w:rsidRDefault="00863FBF" w:rsidP="00863FBF">
            <w:pPr>
              <w:keepNext/>
              <w:keepLines/>
              <w:jc w:val="center"/>
              <w:rPr>
                <w:rFonts w:cs="Times New Roman"/>
                <w:szCs w:val="20"/>
              </w:rPr>
            </w:pPr>
            <w:r w:rsidRPr="00863FBF">
              <w:rPr>
                <w:rFonts w:cs="Times New Roman"/>
                <w:szCs w:val="20"/>
              </w:rPr>
              <w:t>Longline</w:t>
            </w:r>
          </w:p>
        </w:tc>
        <w:tc>
          <w:tcPr>
            <w:tcW w:w="2977" w:type="dxa"/>
            <w:shd w:val="clear" w:color="auto" w:fill="FFFFFF" w:themeFill="background1"/>
          </w:tcPr>
          <w:p w14:paraId="0A10944F" w14:textId="77777777" w:rsidR="00863FBF" w:rsidRPr="00863FBF" w:rsidRDefault="00863FBF" w:rsidP="00863FBF">
            <w:pPr>
              <w:keepNext/>
              <w:keepLines/>
              <w:rPr>
                <w:rFonts w:cs="Times New Roman"/>
                <w:szCs w:val="20"/>
              </w:rPr>
            </w:pPr>
            <w:r w:rsidRPr="00863FBF">
              <w:rPr>
                <w:rFonts w:cs="Times New Roman"/>
                <w:szCs w:val="20"/>
              </w:rPr>
              <w:t>13,156 fish</w:t>
            </w:r>
          </w:p>
        </w:tc>
      </w:tr>
      <w:tr w:rsidR="00863FBF" w:rsidRPr="00863FBF" w14:paraId="4E90A69E" w14:textId="77777777" w:rsidTr="00B77FE0">
        <w:tc>
          <w:tcPr>
            <w:tcW w:w="2694" w:type="dxa"/>
            <w:shd w:val="clear" w:color="auto" w:fill="FFFFFF" w:themeFill="background1"/>
          </w:tcPr>
          <w:p w14:paraId="2948D46F" w14:textId="77777777" w:rsidR="00863FBF" w:rsidRPr="00863FBF" w:rsidRDefault="00863FBF" w:rsidP="00863FBF">
            <w:pPr>
              <w:keepNext/>
              <w:keepLines/>
              <w:jc w:val="both"/>
              <w:rPr>
                <w:rFonts w:cs="Times New Roman"/>
                <w:szCs w:val="20"/>
              </w:rPr>
            </w:pPr>
            <w:r w:rsidRPr="00863FBF">
              <w:rPr>
                <w:rFonts w:cs="Times New Roman"/>
                <w:szCs w:val="20"/>
              </w:rPr>
              <w:t>Canada</w:t>
            </w:r>
          </w:p>
        </w:tc>
        <w:tc>
          <w:tcPr>
            <w:tcW w:w="1842" w:type="dxa"/>
            <w:shd w:val="clear" w:color="auto" w:fill="FFFFFF" w:themeFill="background1"/>
          </w:tcPr>
          <w:p w14:paraId="6A0A6855" w14:textId="77777777" w:rsidR="00863FBF" w:rsidRPr="00863FBF" w:rsidRDefault="00863FBF" w:rsidP="00863FBF">
            <w:pPr>
              <w:keepNext/>
              <w:keepLines/>
              <w:jc w:val="center"/>
              <w:rPr>
                <w:rFonts w:cs="Times New Roman"/>
                <w:szCs w:val="20"/>
              </w:rPr>
            </w:pPr>
            <w:r w:rsidRPr="00863FBF">
              <w:rPr>
                <w:rFonts w:cs="Times New Roman"/>
                <w:szCs w:val="20"/>
              </w:rPr>
              <w:t>Rod and reel</w:t>
            </w:r>
          </w:p>
        </w:tc>
        <w:tc>
          <w:tcPr>
            <w:tcW w:w="2977" w:type="dxa"/>
            <w:shd w:val="clear" w:color="auto" w:fill="FFFFFF" w:themeFill="background1"/>
          </w:tcPr>
          <w:p w14:paraId="2C51860F" w14:textId="77777777" w:rsidR="00863FBF" w:rsidRPr="00863FBF" w:rsidRDefault="00863FBF" w:rsidP="00863FBF">
            <w:pPr>
              <w:keepNext/>
              <w:keepLines/>
              <w:rPr>
                <w:rFonts w:cs="Times New Roman"/>
                <w:szCs w:val="20"/>
              </w:rPr>
            </w:pPr>
            <w:r w:rsidRPr="00863FBF">
              <w:rPr>
                <w:rFonts w:cs="Times New Roman"/>
                <w:szCs w:val="20"/>
              </w:rPr>
              <w:t>9,131 tonnes</w:t>
            </w:r>
          </w:p>
        </w:tc>
      </w:tr>
      <w:tr w:rsidR="00863FBF" w:rsidRPr="00863FBF" w14:paraId="3906FB3B" w14:textId="77777777" w:rsidTr="00B77FE0">
        <w:tc>
          <w:tcPr>
            <w:tcW w:w="2694" w:type="dxa"/>
            <w:shd w:val="clear" w:color="auto" w:fill="FFFFFF" w:themeFill="background1"/>
          </w:tcPr>
          <w:p w14:paraId="1E54EBF1" w14:textId="77777777" w:rsidR="00863FBF" w:rsidRPr="00863FBF" w:rsidRDefault="00863FBF" w:rsidP="00863FBF">
            <w:pPr>
              <w:keepNext/>
              <w:keepLines/>
              <w:jc w:val="both"/>
              <w:rPr>
                <w:rFonts w:cs="Times New Roman"/>
                <w:szCs w:val="20"/>
              </w:rPr>
            </w:pPr>
            <w:r w:rsidRPr="00863FBF">
              <w:rPr>
                <w:rFonts w:cs="Times New Roman"/>
                <w:szCs w:val="20"/>
              </w:rPr>
              <w:t>Morocco</w:t>
            </w:r>
          </w:p>
        </w:tc>
        <w:tc>
          <w:tcPr>
            <w:tcW w:w="1842" w:type="dxa"/>
            <w:shd w:val="clear" w:color="auto" w:fill="FFFFFF" w:themeFill="background1"/>
          </w:tcPr>
          <w:p w14:paraId="3AEC4FA6" w14:textId="77777777" w:rsidR="00863FBF" w:rsidRPr="00863FBF" w:rsidRDefault="00863FBF" w:rsidP="00863FBF">
            <w:pPr>
              <w:keepNext/>
              <w:keepLines/>
              <w:jc w:val="center"/>
              <w:rPr>
                <w:rFonts w:cs="Times New Roman"/>
                <w:szCs w:val="20"/>
              </w:rPr>
            </w:pPr>
            <w:r w:rsidRPr="00863FBF">
              <w:rPr>
                <w:rFonts w:cs="Times New Roman"/>
                <w:szCs w:val="20"/>
              </w:rPr>
              <w:t>Trap</w:t>
            </w:r>
          </w:p>
        </w:tc>
        <w:tc>
          <w:tcPr>
            <w:tcW w:w="2977" w:type="dxa"/>
            <w:shd w:val="clear" w:color="auto" w:fill="FFFFFF" w:themeFill="background1"/>
          </w:tcPr>
          <w:p w14:paraId="16B857A4" w14:textId="77777777" w:rsidR="00863FBF" w:rsidRPr="00863FBF" w:rsidRDefault="00863FBF" w:rsidP="00863FBF">
            <w:pPr>
              <w:keepNext/>
              <w:keepLines/>
              <w:rPr>
                <w:rFonts w:cs="Times New Roman"/>
                <w:szCs w:val="20"/>
              </w:rPr>
            </w:pPr>
            <w:r w:rsidRPr="00863FBF">
              <w:rPr>
                <w:rFonts w:cs="Times New Roman"/>
                <w:szCs w:val="20"/>
              </w:rPr>
              <w:t>15,996 tonnes</w:t>
            </w:r>
          </w:p>
        </w:tc>
      </w:tr>
      <w:tr w:rsidR="00863FBF" w:rsidRPr="00863FBF" w14:paraId="3FC12A1C" w14:textId="77777777" w:rsidTr="00B77FE0">
        <w:tc>
          <w:tcPr>
            <w:tcW w:w="2694" w:type="dxa"/>
            <w:tcBorders>
              <w:bottom w:val="single" w:sz="4" w:space="0" w:color="auto"/>
            </w:tcBorders>
            <w:shd w:val="clear" w:color="auto" w:fill="FFFFFF" w:themeFill="background1"/>
          </w:tcPr>
          <w:p w14:paraId="5BE0D94E" w14:textId="77777777" w:rsidR="00863FBF" w:rsidRPr="00863FBF" w:rsidRDefault="00863FBF" w:rsidP="00863FBF">
            <w:pPr>
              <w:keepNext/>
              <w:keepLines/>
              <w:jc w:val="both"/>
              <w:rPr>
                <w:rFonts w:cs="Times New Roman"/>
                <w:szCs w:val="20"/>
              </w:rPr>
            </w:pPr>
            <w:r w:rsidRPr="00863FBF">
              <w:rPr>
                <w:rFonts w:cs="Times New Roman"/>
                <w:szCs w:val="20"/>
              </w:rPr>
              <w:t>Spain</w:t>
            </w:r>
          </w:p>
        </w:tc>
        <w:tc>
          <w:tcPr>
            <w:tcW w:w="1842" w:type="dxa"/>
            <w:tcBorders>
              <w:bottom w:val="single" w:sz="4" w:space="0" w:color="auto"/>
            </w:tcBorders>
            <w:shd w:val="clear" w:color="auto" w:fill="FFFFFF" w:themeFill="background1"/>
          </w:tcPr>
          <w:p w14:paraId="5BFD5B21" w14:textId="77777777" w:rsidR="00863FBF" w:rsidRPr="00863FBF" w:rsidRDefault="00863FBF" w:rsidP="00863FBF">
            <w:pPr>
              <w:keepNext/>
              <w:keepLines/>
              <w:jc w:val="center"/>
              <w:rPr>
                <w:rFonts w:cs="Times New Roman"/>
                <w:szCs w:val="20"/>
              </w:rPr>
            </w:pPr>
            <w:proofErr w:type="spellStart"/>
            <w:r w:rsidRPr="00863FBF">
              <w:rPr>
                <w:rFonts w:cs="Times New Roman"/>
                <w:szCs w:val="20"/>
              </w:rPr>
              <w:t>Baitboat</w:t>
            </w:r>
            <w:proofErr w:type="spellEnd"/>
          </w:p>
        </w:tc>
        <w:tc>
          <w:tcPr>
            <w:tcW w:w="2977" w:type="dxa"/>
            <w:tcBorders>
              <w:bottom w:val="single" w:sz="4" w:space="0" w:color="auto"/>
            </w:tcBorders>
            <w:shd w:val="clear" w:color="auto" w:fill="FFFFFF" w:themeFill="background1"/>
          </w:tcPr>
          <w:p w14:paraId="219DDA01" w14:textId="77777777" w:rsidR="00863FBF" w:rsidRPr="00863FBF" w:rsidRDefault="00863FBF" w:rsidP="00863FBF">
            <w:pPr>
              <w:keepNext/>
              <w:keepLines/>
              <w:rPr>
                <w:rFonts w:cs="Times New Roman"/>
                <w:szCs w:val="20"/>
              </w:rPr>
            </w:pPr>
            <w:r w:rsidRPr="00863FBF">
              <w:rPr>
                <w:rFonts w:cs="Times New Roman"/>
                <w:szCs w:val="20"/>
              </w:rPr>
              <w:t>35,625 tonnes</w:t>
            </w:r>
          </w:p>
        </w:tc>
      </w:tr>
    </w:tbl>
    <w:p w14:paraId="70795487" w14:textId="77777777" w:rsidR="00863FBF" w:rsidRPr="00863FBF" w:rsidRDefault="00863FBF" w:rsidP="00863FBF">
      <w:pPr>
        <w:jc w:val="both"/>
        <w:rPr>
          <w:rFonts w:cs="Times New Roman"/>
          <w:szCs w:val="20"/>
          <w:lang w:val="en-ZA"/>
        </w:rPr>
      </w:pPr>
    </w:p>
    <w:p w14:paraId="68219845" w14:textId="794F3DB7" w:rsidR="00863FBF" w:rsidRPr="00863FBF" w:rsidRDefault="00863FBF" w:rsidP="00863FBF">
      <w:pPr>
        <w:keepNext/>
        <w:keepLines/>
        <w:jc w:val="both"/>
        <w:rPr>
          <w:szCs w:val="20"/>
        </w:rPr>
      </w:pPr>
      <w:r w:rsidRPr="00863FBF">
        <w:rPr>
          <w:rFonts w:cs="Times New Roman"/>
          <w:b/>
          <w:szCs w:val="20"/>
          <w:lang w:val="en-ZA"/>
        </w:rPr>
        <w:t>Table 2.</w:t>
      </w:r>
      <w:r w:rsidRPr="00863FBF">
        <w:rPr>
          <w:rFonts w:cs="Times New Roman"/>
          <w:szCs w:val="20"/>
          <w:lang w:val="en-ZA"/>
        </w:rPr>
        <w:t xml:space="preserve"> The standardized CPUE indices of the assessments that are used to derive trend information for the </w:t>
      </w:r>
      <w:r>
        <w:rPr>
          <w:rFonts w:cs="Times New Roman"/>
          <w:szCs w:val="20"/>
          <w:lang w:val="en-ZA"/>
        </w:rPr>
        <w:t xml:space="preserve">‘GLM’ </w:t>
      </w:r>
      <w:r w:rsidRPr="00863FBF">
        <w:rPr>
          <w:rFonts w:cs="Times New Roman"/>
          <w:szCs w:val="20"/>
          <w:lang w:val="en-ZA"/>
        </w:rPr>
        <w:t xml:space="preserve">master index.     </w:t>
      </w:r>
    </w:p>
    <w:p w14:paraId="73C8DA65" w14:textId="7B6E365A" w:rsidR="00863FBF" w:rsidRDefault="00863FBF" w:rsidP="00BE1E57">
      <w:pPr>
        <w:jc w:val="both"/>
        <w:rPr>
          <w:szCs w:val="20"/>
        </w:rPr>
      </w:pPr>
    </w:p>
    <w:tbl>
      <w:tblPr>
        <w:tblW w:w="9360" w:type="dxa"/>
        <w:tblLook w:val="04A0" w:firstRow="1" w:lastRow="0" w:firstColumn="1" w:lastColumn="0" w:noHBand="0" w:noVBand="1"/>
      </w:tblPr>
      <w:tblGrid>
        <w:gridCol w:w="1383"/>
        <w:gridCol w:w="1337"/>
        <w:gridCol w:w="2710"/>
        <w:gridCol w:w="2157"/>
        <w:gridCol w:w="916"/>
        <w:gridCol w:w="909"/>
      </w:tblGrid>
      <w:tr w:rsidR="00863FBF" w:rsidRPr="00863FBF" w14:paraId="6ADEF84D" w14:textId="77777777" w:rsidTr="00863FBF">
        <w:trPr>
          <w:trHeight w:val="290"/>
        </w:trPr>
        <w:tc>
          <w:tcPr>
            <w:tcW w:w="1338" w:type="dxa"/>
            <w:tcBorders>
              <w:top w:val="single" w:sz="4" w:space="0" w:color="auto"/>
              <w:left w:val="nil"/>
              <w:bottom w:val="single" w:sz="4" w:space="0" w:color="auto"/>
              <w:right w:val="nil"/>
            </w:tcBorders>
            <w:shd w:val="clear" w:color="auto" w:fill="auto"/>
            <w:noWrap/>
            <w:vAlign w:val="center"/>
          </w:tcPr>
          <w:p w14:paraId="62BC887B" w14:textId="3D68C568"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lastRenderedPageBreak/>
              <w:t>Fleet Code</w:t>
            </w:r>
          </w:p>
        </w:tc>
        <w:tc>
          <w:tcPr>
            <w:tcW w:w="1337" w:type="dxa"/>
            <w:tcBorders>
              <w:top w:val="single" w:sz="4" w:space="0" w:color="auto"/>
              <w:left w:val="nil"/>
              <w:bottom w:val="single" w:sz="4" w:space="0" w:color="auto"/>
              <w:right w:val="nil"/>
            </w:tcBorders>
            <w:shd w:val="clear" w:color="auto" w:fill="auto"/>
            <w:noWrap/>
            <w:vAlign w:val="center"/>
          </w:tcPr>
          <w:p w14:paraId="75CCCBB8" w14:textId="50DFE6A5"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t>Gear Code</w:t>
            </w:r>
          </w:p>
        </w:tc>
        <w:tc>
          <w:tcPr>
            <w:tcW w:w="2710" w:type="dxa"/>
            <w:tcBorders>
              <w:top w:val="single" w:sz="4" w:space="0" w:color="auto"/>
              <w:left w:val="nil"/>
              <w:bottom w:val="single" w:sz="4" w:space="0" w:color="auto"/>
              <w:right w:val="nil"/>
            </w:tcBorders>
            <w:shd w:val="clear" w:color="auto" w:fill="auto"/>
            <w:noWrap/>
            <w:vAlign w:val="center"/>
          </w:tcPr>
          <w:p w14:paraId="4CB04768" w14:textId="51380529"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t>Flags</w:t>
            </w:r>
          </w:p>
        </w:tc>
        <w:tc>
          <w:tcPr>
            <w:tcW w:w="2157" w:type="dxa"/>
            <w:tcBorders>
              <w:top w:val="single" w:sz="4" w:space="0" w:color="auto"/>
              <w:left w:val="nil"/>
              <w:bottom w:val="single" w:sz="4" w:space="0" w:color="auto"/>
              <w:right w:val="nil"/>
            </w:tcBorders>
            <w:shd w:val="clear" w:color="auto" w:fill="auto"/>
            <w:noWrap/>
            <w:vAlign w:val="center"/>
          </w:tcPr>
          <w:p w14:paraId="21B03A79" w14:textId="619F57E4" w:rsidR="00863FBF" w:rsidRPr="00863FBF" w:rsidRDefault="00863FBF" w:rsidP="00863FBF">
            <w:pPr>
              <w:rPr>
                <w:rFonts w:eastAsia="Times New Roman" w:cs="Times New Roman"/>
                <w:b/>
                <w:color w:val="000000"/>
                <w:szCs w:val="20"/>
                <w:lang w:val="en-US"/>
              </w:rPr>
            </w:pPr>
            <w:r w:rsidRPr="00863FBF">
              <w:rPr>
                <w:rFonts w:eastAsia="Times New Roman" w:cs="Times New Roman"/>
                <w:b/>
                <w:color w:val="000000"/>
                <w:szCs w:val="20"/>
                <w:lang w:val="en-US"/>
              </w:rPr>
              <w:t xml:space="preserve">Region </w:t>
            </w:r>
          </w:p>
        </w:tc>
        <w:tc>
          <w:tcPr>
            <w:tcW w:w="909" w:type="dxa"/>
            <w:tcBorders>
              <w:top w:val="single" w:sz="4" w:space="0" w:color="auto"/>
              <w:left w:val="nil"/>
              <w:bottom w:val="single" w:sz="4" w:space="0" w:color="auto"/>
              <w:right w:val="nil"/>
            </w:tcBorders>
            <w:shd w:val="clear" w:color="auto" w:fill="auto"/>
            <w:noWrap/>
            <w:vAlign w:val="center"/>
          </w:tcPr>
          <w:p w14:paraId="00BFF7B2" w14:textId="34854545" w:rsidR="00863FBF" w:rsidRPr="00863FBF" w:rsidRDefault="00863FBF" w:rsidP="00863FBF">
            <w:pPr>
              <w:jc w:val="right"/>
              <w:rPr>
                <w:rFonts w:eastAsia="Times New Roman" w:cs="Times New Roman"/>
                <w:b/>
                <w:color w:val="000000"/>
                <w:szCs w:val="20"/>
                <w:lang w:val="en-US"/>
              </w:rPr>
            </w:pPr>
            <w:r w:rsidRPr="00863FBF">
              <w:rPr>
                <w:rFonts w:eastAsia="Times New Roman" w:cs="Times New Roman"/>
                <w:b/>
                <w:color w:val="000000"/>
                <w:szCs w:val="20"/>
                <w:lang w:val="en-US"/>
              </w:rPr>
              <w:t xml:space="preserve">Starting </w:t>
            </w:r>
          </w:p>
        </w:tc>
        <w:tc>
          <w:tcPr>
            <w:tcW w:w="909" w:type="dxa"/>
            <w:tcBorders>
              <w:top w:val="single" w:sz="4" w:space="0" w:color="auto"/>
              <w:left w:val="nil"/>
              <w:bottom w:val="single" w:sz="4" w:space="0" w:color="auto"/>
              <w:right w:val="nil"/>
            </w:tcBorders>
            <w:shd w:val="clear" w:color="auto" w:fill="auto"/>
            <w:noWrap/>
            <w:vAlign w:val="center"/>
          </w:tcPr>
          <w:p w14:paraId="5F8E22EE" w14:textId="7EAC9A30" w:rsidR="00863FBF" w:rsidRPr="00863FBF" w:rsidRDefault="00863FBF" w:rsidP="00863FBF">
            <w:pPr>
              <w:jc w:val="right"/>
              <w:rPr>
                <w:rFonts w:eastAsia="Times New Roman" w:cs="Times New Roman"/>
                <w:b/>
                <w:color w:val="000000"/>
                <w:szCs w:val="20"/>
                <w:lang w:val="en-US"/>
              </w:rPr>
            </w:pPr>
            <w:r w:rsidRPr="00863FBF">
              <w:rPr>
                <w:rFonts w:eastAsia="Times New Roman" w:cs="Times New Roman"/>
                <w:b/>
                <w:color w:val="000000"/>
                <w:szCs w:val="20"/>
                <w:lang w:val="en-US"/>
              </w:rPr>
              <w:t xml:space="preserve">Ending </w:t>
            </w:r>
          </w:p>
        </w:tc>
      </w:tr>
      <w:tr w:rsidR="00863FBF" w:rsidRPr="00863FBF" w14:paraId="31C130A2" w14:textId="77777777" w:rsidTr="00863FBF">
        <w:trPr>
          <w:trHeight w:val="290"/>
        </w:trPr>
        <w:tc>
          <w:tcPr>
            <w:tcW w:w="1338" w:type="dxa"/>
            <w:tcBorders>
              <w:top w:val="single" w:sz="4" w:space="0" w:color="auto"/>
              <w:left w:val="nil"/>
              <w:bottom w:val="nil"/>
              <w:right w:val="nil"/>
            </w:tcBorders>
            <w:shd w:val="clear" w:color="auto" w:fill="auto"/>
            <w:noWrap/>
            <w:vAlign w:val="center"/>
            <w:hideMark/>
          </w:tcPr>
          <w:p w14:paraId="38E8330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LLOTH</w:t>
            </w:r>
          </w:p>
        </w:tc>
        <w:tc>
          <w:tcPr>
            <w:tcW w:w="1337" w:type="dxa"/>
            <w:tcBorders>
              <w:top w:val="single" w:sz="4" w:space="0" w:color="auto"/>
              <w:left w:val="nil"/>
              <w:bottom w:val="nil"/>
              <w:right w:val="nil"/>
            </w:tcBorders>
            <w:shd w:val="clear" w:color="auto" w:fill="auto"/>
            <w:noWrap/>
            <w:vAlign w:val="center"/>
            <w:hideMark/>
          </w:tcPr>
          <w:p w14:paraId="3EFA6C8F"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w:t>
            </w:r>
          </w:p>
        </w:tc>
        <w:tc>
          <w:tcPr>
            <w:tcW w:w="2710" w:type="dxa"/>
            <w:tcBorders>
              <w:top w:val="single" w:sz="4" w:space="0" w:color="auto"/>
              <w:left w:val="nil"/>
              <w:bottom w:val="nil"/>
              <w:right w:val="nil"/>
            </w:tcBorders>
            <w:shd w:val="clear" w:color="auto" w:fill="auto"/>
            <w:noWrap/>
            <w:vAlign w:val="center"/>
            <w:hideMark/>
          </w:tcPr>
          <w:p w14:paraId="28237BB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All except Japan</w:t>
            </w:r>
          </w:p>
        </w:tc>
        <w:tc>
          <w:tcPr>
            <w:tcW w:w="2157" w:type="dxa"/>
            <w:tcBorders>
              <w:top w:val="single" w:sz="4" w:space="0" w:color="auto"/>
              <w:left w:val="nil"/>
              <w:bottom w:val="nil"/>
              <w:right w:val="nil"/>
            </w:tcBorders>
            <w:shd w:val="clear" w:color="auto" w:fill="auto"/>
            <w:noWrap/>
            <w:vAlign w:val="center"/>
            <w:hideMark/>
          </w:tcPr>
          <w:p w14:paraId="744D3C05"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All</w:t>
            </w:r>
          </w:p>
        </w:tc>
        <w:tc>
          <w:tcPr>
            <w:tcW w:w="909" w:type="dxa"/>
            <w:tcBorders>
              <w:top w:val="single" w:sz="4" w:space="0" w:color="auto"/>
              <w:left w:val="nil"/>
              <w:bottom w:val="nil"/>
              <w:right w:val="nil"/>
            </w:tcBorders>
            <w:shd w:val="clear" w:color="auto" w:fill="auto"/>
            <w:noWrap/>
            <w:vAlign w:val="center"/>
            <w:hideMark/>
          </w:tcPr>
          <w:p w14:paraId="52047C4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single" w:sz="4" w:space="0" w:color="auto"/>
              <w:left w:val="nil"/>
              <w:bottom w:val="nil"/>
              <w:right w:val="nil"/>
            </w:tcBorders>
            <w:shd w:val="clear" w:color="auto" w:fill="auto"/>
            <w:noWrap/>
            <w:vAlign w:val="center"/>
            <w:hideMark/>
          </w:tcPr>
          <w:p w14:paraId="1120C8BA"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3CC2548" w14:textId="77777777" w:rsidTr="00863FBF">
        <w:trPr>
          <w:trHeight w:val="290"/>
        </w:trPr>
        <w:tc>
          <w:tcPr>
            <w:tcW w:w="1338" w:type="dxa"/>
            <w:tcBorders>
              <w:top w:val="nil"/>
              <w:left w:val="nil"/>
              <w:bottom w:val="nil"/>
              <w:right w:val="nil"/>
            </w:tcBorders>
            <w:shd w:val="clear" w:color="auto" w:fill="auto"/>
            <w:noWrap/>
            <w:vAlign w:val="center"/>
            <w:hideMark/>
          </w:tcPr>
          <w:p w14:paraId="5B737F02"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LLJPN</w:t>
            </w:r>
          </w:p>
        </w:tc>
        <w:tc>
          <w:tcPr>
            <w:tcW w:w="1337" w:type="dxa"/>
            <w:tcBorders>
              <w:top w:val="nil"/>
              <w:left w:val="nil"/>
              <w:bottom w:val="nil"/>
              <w:right w:val="nil"/>
            </w:tcBorders>
            <w:shd w:val="clear" w:color="auto" w:fill="auto"/>
            <w:noWrap/>
            <w:vAlign w:val="center"/>
            <w:hideMark/>
          </w:tcPr>
          <w:p w14:paraId="78DC467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LL</w:t>
            </w:r>
          </w:p>
        </w:tc>
        <w:tc>
          <w:tcPr>
            <w:tcW w:w="2710" w:type="dxa"/>
            <w:tcBorders>
              <w:top w:val="nil"/>
              <w:left w:val="nil"/>
              <w:bottom w:val="nil"/>
              <w:right w:val="nil"/>
            </w:tcBorders>
            <w:shd w:val="clear" w:color="auto" w:fill="auto"/>
            <w:noWrap/>
            <w:vAlign w:val="center"/>
            <w:hideMark/>
          </w:tcPr>
          <w:p w14:paraId="358936A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Japan</w:t>
            </w:r>
          </w:p>
        </w:tc>
        <w:tc>
          <w:tcPr>
            <w:tcW w:w="2157" w:type="dxa"/>
            <w:tcBorders>
              <w:top w:val="nil"/>
              <w:left w:val="nil"/>
              <w:bottom w:val="nil"/>
              <w:right w:val="nil"/>
            </w:tcBorders>
            <w:shd w:val="clear" w:color="auto" w:fill="auto"/>
            <w:noWrap/>
            <w:vAlign w:val="center"/>
            <w:hideMark/>
          </w:tcPr>
          <w:p w14:paraId="6C02674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All</w:t>
            </w:r>
          </w:p>
        </w:tc>
        <w:tc>
          <w:tcPr>
            <w:tcW w:w="909" w:type="dxa"/>
            <w:tcBorders>
              <w:top w:val="nil"/>
              <w:left w:val="nil"/>
              <w:bottom w:val="nil"/>
              <w:right w:val="nil"/>
            </w:tcBorders>
            <w:shd w:val="clear" w:color="auto" w:fill="auto"/>
            <w:noWrap/>
            <w:vAlign w:val="center"/>
            <w:hideMark/>
          </w:tcPr>
          <w:p w14:paraId="3340FAFE"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5EE9A0D6"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B69576F" w14:textId="77777777" w:rsidTr="00863FBF">
        <w:trPr>
          <w:trHeight w:val="290"/>
        </w:trPr>
        <w:tc>
          <w:tcPr>
            <w:tcW w:w="1338" w:type="dxa"/>
            <w:tcBorders>
              <w:top w:val="nil"/>
              <w:left w:val="nil"/>
              <w:bottom w:val="nil"/>
              <w:right w:val="nil"/>
            </w:tcBorders>
            <w:shd w:val="clear" w:color="auto" w:fill="auto"/>
            <w:noWrap/>
            <w:vAlign w:val="center"/>
            <w:hideMark/>
          </w:tcPr>
          <w:p w14:paraId="09BF1872"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BBold</w:t>
            </w:r>
            <w:proofErr w:type="spellEnd"/>
          </w:p>
        </w:tc>
        <w:tc>
          <w:tcPr>
            <w:tcW w:w="1337" w:type="dxa"/>
            <w:tcBorders>
              <w:top w:val="nil"/>
              <w:left w:val="nil"/>
              <w:bottom w:val="nil"/>
              <w:right w:val="nil"/>
            </w:tcBorders>
            <w:shd w:val="clear" w:color="auto" w:fill="auto"/>
            <w:noWrap/>
            <w:vAlign w:val="center"/>
            <w:hideMark/>
          </w:tcPr>
          <w:p w14:paraId="0319865D"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BB</w:t>
            </w:r>
          </w:p>
        </w:tc>
        <w:tc>
          <w:tcPr>
            <w:tcW w:w="2710" w:type="dxa"/>
            <w:tcBorders>
              <w:top w:val="nil"/>
              <w:left w:val="nil"/>
              <w:bottom w:val="nil"/>
              <w:right w:val="nil"/>
            </w:tcBorders>
            <w:shd w:val="clear" w:color="auto" w:fill="auto"/>
            <w:noWrap/>
            <w:vAlign w:val="center"/>
            <w:hideMark/>
          </w:tcPr>
          <w:p w14:paraId="05445310"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xml:space="preserve">, </w:t>
            </w:r>
            <w:proofErr w:type="spellStart"/>
            <w:r w:rsidRPr="00863FBF">
              <w:rPr>
                <w:rFonts w:eastAsia="Times New Roman" w:cs="Times New Roman"/>
                <w:color w:val="000000"/>
                <w:szCs w:val="20"/>
                <w:lang w:val="en-US"/>
              </w:rPr>
              <w:t>EU.France</w:t>
            </w:r>
            <w:proofErr w:type="spellEnd"/>
          </w:p>
        </w:tc>
        <w:tc>
          <w:tcPr>
            <w:tcW w:w="2157" w:type="dxa"/>
            <w:tcBorders>
              <w:top w:val="nil"/>
              <w:left w:val="nil"/>
              <w:bottom w:val="nil"/>
              <w:right w:val="nil"/>
            </w:tcBorders>
            <w:shd w:val="clear" w:color="auto" w:fill="auto"/>
            <w:noWrap/>
            <w:vAlign w:val="center"/>
            <w:hideMark/>
          </w:tcPr>
          <w:p w14:paraId="293345E9"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Bay of Biscay</w:t>
            </w:r>
          </w:p>
        </w:tc>
        <w:tc>
          <w:tcPr>
            <w:tcW w:w="909" w:type="dxa"/>
            <w:tcBorders>
              <w:top w:val="nil"/>
              <w:left w:val="nil"/>
              <w:bottom w:val="nil"/>
              <w:right w:val="nil"/>
            </w:tcBorders>
            <w:shd w:val="clear" w:color="auto" w:fill="auto"/>
            <w:noWrap/>
            <w:vAlign w:val="center"/>
            <w:hideMark/>
          </w:tcPr>
          <w:p w14:paraId="2F0DD5DA"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40D1CB19"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2006</w:t>
            </w:r>
          </w:p>
        </w:tc>
      </w:tr>
      <w:tr w:rsidR="00863FBF" w:rsidRPr="00863FBF" w14:paraId="635AB3D7" w14:textId="77777777" w:rsidTr="00863FBF">
        <w:trPr>
          <w:trHeight w:val="290"/>
        </w:trPr>
        <w:tc>
          <w:tcPr>
            <w:tcW w:w="1338" w:type="dxa"/>
            <w:tcBorders>
              <w:top w:val="nil"/>
              <w:left w:val="nil"/>
              <w:bottom w:val="nil"/>
              <w:right w:val="nil"/>
            </w:tcBorders>
            <w:shd w:val="clear" w:color="auto" w:fill="auto"/>
            <w:noWrap/>
            <w:vAlign w:val="center"/>
            <w:hideMark/>
          </w:tcPr>
          <w:p w14:paraId="234C1B49"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BBnew</w:t>
            </w:r>
            <w:proofErr w:type="spellEnd"/>
          </w:p>
        </w:tc>
        <w:tc>
          <w:tcPr>
            <w:tcW w:w="1337" w:type="dxa"/>
            <w:tcBorders>
              <w:top w:val="nil"/>
              <w:left w:val="nil"/>
              <w:bottom w:val="nil"/>
              <w:right w:val="nil"/>
            </w:tcBorders>
            <w:shd w:val="clear" w:color="auto" w:fill="auto"/>
            <w:noWrap/>
            <w:vAlign w:val="center"/>
            <w:hideMark/>
          </w:tcPr>
          <w:p w14:paraId="39BF90D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BB</w:t>
            </w:r>
          </w:p>
        </w:tc>
        <w:tc>
          <w:tcPr>
            <w:tcW w:w="2710" w:type="dxa"/>
            <w:tcBorders>
              <w:top w:val="nil"/>
              <w:left w:val="nil"/>
              <w:bottom w:val="nil"/>
              <w:right w:val="nil"/>
            </w:tcBorders>
            <w:shd w:val="clear" w:color="auto" w:fill="auto"/>
            <w:noWrap/>
            <w:vAlign w:val="center"/>
            <w:hideMark/>
          </w:tcPr>
          <w:p w14:paraId="05237ED7"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xml:space="preserve">, </w:t>
            </w:r>
            <w:proofErr w:type="spellStart"/>
            <w:r w:rsidRPr="00863FBF">
              <w:rPr>
                <w:rFonts w:eastAsia="Times New Roman" w:cs="Times New Roman"/>
                <w:color w:val="000000"/>
                <w:szCs w:val="20"/>
                <w:lang w:val="en-US"/>
              </w:rPr>
              <w:t>EU.France</w:t>
            </w:r>
            <w:proofErr w:type="spellEnd"/>
          </w:p>
        </w:tc>
        <w:tc>
          <w:tcPr>
            <w:tcW w:w="2157" w:type="dxa"/>
            <w:tcBorders>
              <w:top w:val="nil"/>
              <w:left w:val="nil"/>
              <w:bottom w:val="nil"/>
              <w:right w:val="nil"/>
            </w:tcBorders>
            <w:shd w:val="clear" w:color="auto" w:fill="auto"/>
            <w:noWrap/>
            <w:vAlign w:val="center"/>
            <w:hideMark/>
          </w:tcPr>
          <w:p w14:paraId="3DC5BA9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Bay of Biscay</w:t>
            </w:r>
          </w:p>
        </w:tc>
        <w:tc>
          <w:tcPr>
            <w:tcW w:w="909" w:type="dxa"/>
            <w:tcBorders>
              <w:top w:val="nil"/>
              <w:left w:val="nil"/>
              <w:bottom w:val="nil"/>
              <w:right w:val="nil"/>
            </w:tcBorders>
            <w:shd w:val="clear" w:color="auto" w:fill="auto"/>
            <w:noWrap/>
            <w:vAlign w:val="center"/>
            <w:hideMark/>
          </w:tcPr>
          <w:p w14:paraId="6593634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2007</w:t>
            </w:r>
          </w:p>
        </w:tc>
        <w:tc>
          <w:tcPr>
            <w:tcW w:w="909" w:type="dxa"/>
            <w:tcBorders>
              <w:top w:val="nil"/>
              <w:left w:val="nil"/>
              <w:bottom w:val="nil"/>
              <w:right w:val="nil"/>
            </w:tcBorders>
            <w:shd w:val="clear" w:color="auto" w:fill="auto"/>
            <w:noWrap/>
            <w:vAlign w:val="center"/>
            <w:hideMark/>
          </w:tcPr>
          <w:p w14:paraId="62549EB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2DD348B0" w14:textId="77777777" w:rsidTr="00863FBF">
        <w:trPr>
          <w:trHeight w:val="290"/>
        </w:trPr>
        <w:tc>
          <w:tcPr>
            <w:tcW w:w="1338" w:type="dxa"/>
            <w:tcBorders>
              <w:top w:val="nil"/>
              <w:left w:val="nil"/>
              <w:bottom w:val="nil"/>
              <w:right w:val="nil"/>
            </w:tcBorders>
            <w:shd w:val="clear" w:color="auto" w:fill="auto"/>
            <w:noWrap/>
            <w:vAlign w:val="center"/>
            <w:hideMark/>
          </w:tcPr>
          <w:p w14:paraId="29B230A0"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PSMEDold</w:t>
            </w:r>
            <w:proofErr w:type="spellEnd"/>
          </w:p>
        </w:tc>
        <w:tc>
          <w:tcPr>
            <w:tcW w:w="1337" w:type="dxa"/>
            <w:tcBorders>
              <w:top w:val="nil"/>
              <w:left w:val="nil"/>
              <w:bottom w:val="nil"/>
              <w:right w:val="nil"/>
            </w:tcBorders>
            <w:shd w:val="clear" w:color="auto" w:fill="auto"/>
            <w:noWrap/>
            <w:vAlign w:val="center"/>
            <w:hideMark/>
          </w:tcPr>
          <w:p w14:paraId="340024B8"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048D825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All except </w:t>
            </w: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43CDC86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 No Quarter2</w:t>
            </w:r>
          </w:p>
        </w:tc>
        <w:tc>
          <w:tcPr>
            <w:tcW w:w="909" w:type="dxa"/>
            <w:tcBorders>
              <w:top w:val="nil"/>
              <w:left w:val="nil"/>
              <w:bottom w:val="nil"/>
              <w:right w:val="nil"/>
            </w:tcBorders>
            <w:shd w:val="clear" w:color="auto" w:fill="auto"/>
            <w:noWrap/>
            <w:vAlign w:val="center"/>
            <w:hideMark/>
          </w:tcPr>
          <w:p w14:paraId="488DE2DF"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06455B7C"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2008</w:t>
            </w:r>
          </w:p>
        </w:tc>
      </w:tr>
      <w:tr w:rsidR="00863FBF" w:rsidRPr="00863FBF" w14:paraId="05C19709" w14:textId="77777777" w:rsidTr="00863FBF">
        <w:trPr>
          <w:trHeight w:val="290"/>
        </w:trPr>
        <w:tc>
          <w:tcPr>
            <w:tcW w:w="1338" w:type="dxa"/>
            <w:tcBorders>
              <w:top w:val="nil"/>
              <w:left w:val="nil"/>
              <w:bottom w:val="nil"/>
              <w:right w:val="nil"/>
            </w:tcBorders>
            <w:shd w:val="clear" w:color="auto" w:fill="auto"/>
            <w:noWrap/>
            <w:vAlign w:val="center"/>
            <w:hideMark/>
          </w:tcPr>
          <w:p w14:paraId="1D985AF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PSMEDoldQ2</w:t>
            </w:r>
          </w:p>
        </w:tc>
        <w:tc>
          <w:tcPr>
            <w:tcW w:w="1337" w:type="dxa"/>
            <w:tcBorders>
              <w:top w:val="nil"/>
              <w:left w:val="nil"/>
              <w:bottom w:val="nil"/>
              <w:right w:val="nil"/>
            </w:tcBorders>
            <w:shd w:val="clear" w:color="auto" w:fill="auto"/>
            <w:noWrap/>
            <w:vAlign w:val="center"/>
            <w:hideMark/>
          </w:tcPr>
          <w:p w14:paraId="78E64CBB"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361A9912"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All except </w:t>
            </w: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356F1A3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 Quarter2</w:t>
            </w:r>
          </w:p>
        </w:tc>
        <w:tc>
          <w:tcPr>
            <w:tcW w:w="909" w:type="dxa"/>
            <w:tcBorders>
              <w:top w:val="nil"/>
              <w:left w:val="nil"/>
              <w:bottom w:val="nil"/>
              <w:right w:val="nil"/>
            </w:tcBorders>
            <w:shd w:val="clear" w:color="auto" w:fill="auto"/>
            <w:noWrap/>
            <w:vAlign w:val="center"/>
            <w:hideMark/>
          </w:tcPr>
          <w:p w14:paraId="024C6454"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47B1A98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2008</w:t>
            </w:r>
          </w:p>
        </w:tc>
      </w:tr>
      <w:tr w:rsidR="00863FBF" w:rsidRPr="00863FBF" w14:paraId="59C0F4D1" w14:textId="77777777" w:rsidTr="00863FBF">
        <w:trPr>
          <w:trHeight w:val="290"/>
        </w:trPr>
        <w:tc>
          <w:tcPr>
            <w:tcW w:w="1338" w:type="dxa"/>
            <w:tcBorders>
              <w:top w:val="nil"/>
              <w:left w:val="nil"/>
              <w:bottom w:val="nil"/>
              <w:right w:val="nil"/>
            </w:tcBorders>
            <w:shd w:val="clear" w:color="auto" w:fill="auto"/>
            <w:noWrap/>
            <w:vAlign w:val="center"/>
            <w:hideMark/>
          </w:tcPr>
          <w:p w14:paraId="6ECBE977"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PSMEDnew</w:t>
            </w:r>
            <w:proofErr w:type="spellEnd"/>
          </w:p>
        </w:tc>
        <w:tc>
          <w:tcPr>
            <w:tcW w:w="1337" w:type="dxa"/>
            <w:tcBorders>
              <w:top w:val="nil"/>
              <w:left w:val="nil"/>
              <w:bottom w:val="nil"/>
              <w:right w:val="nil"/>
            </w:tcBorders>
            <w:shd w:val="clear" w:color="auto" w:fill="auto"/>
            <w:noWrap/>
            <w:vAlign w:val="center"/>
            <w:hideMark/>
          </w:tcPr>
          <w:p w14:paraId="1FC8791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68DA086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All except </w:t>
            </w: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0F810ED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w:t>
            </w:r>
          </w:p>
        </w:tc>
        <w:tc>
          <w:tcPr>
            <w:tcW w:w="909" w:type="dxa"/>
            <w:tcBorders>
              <w:top w:val="nil"/>
              <w:left w:val="nil"/>
              <w:bottom w:val="nil"/>
              <w:right w:val="nil"/>
            </w:tcBorders>
            <w:shd w:val="clear" w:color="auto" w:fill="auto"/>
            <w:noWrap/>
            <w:vAlign w:val="center"/>
            <w:hideMark/>
          </w:tcPr>
          <w:p w14:paraId="65241E02"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2009</w:t>
            </w:r>
          </w:p>
        </w:tc>
        <w:tc>
          <w:tcPr>
            <w:tcW w:w="909" w:type="dxa"/>
            <w:tcBorders>
              <w:top w:val="nil"/>
              <w:left w:val="nil"/>
              <w:bottom w:val="nil"/>
              <w:right w:val="nil"/>
            </w:tcBorders>
            <w:shd w:val="clear" w:color="auto" w:fill="auto"/>
            <w:noWrap/>
            <w:vAlign w:val="center"/>
            <w:hideMark/>
          </w:tcPr>
          <w:p w14:paraId="35A017E1"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7E818F16" w14:textId="77777777" w:rsidTr="00863FBF">
        <w:trPr>
          <w:trHeight w:val="290"/>
        </w:trPr>
        <w:tc>
          <w:tcPr>
            <w:tcW w:w="1338" w:type="dxa"/>
            <w:tcBorders>
              <w:top w:val="nil"/>
              <w:left w:val="nil"/>
              <w:bottom w:val="nil"/>
              <w:right w:val="nil"/>
            </w:tcBorders>
            <w:shd w:val="clear" w:color="auto" w:fill="auto"/>
            <w:noWrap/>
            <w:vAlign w:val="center"/>
            <w:hideMark/>
          </w:tcPr>
          <w:p w14:paraId="5A7CED36"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PSNOR</w:t>
            </w:r>
          </w:p>
        </w:tc>
        <w:tc>
          <w:tcPr>
            <w:tcW w:w="1337" w:type="dxa"/>
            <w:tcBorders>
              <w:top w:val="nil"/>
              <w:left w:val="nil"/>
              <w:bottom w:val="nil"/>
              <w:right w:val="nil"/>
            </w:tcBorders>
            <w:shd w:val="clear" w:color="auto" w:fill="auto"/>
            <w:noWrap/>
            <w:vAlign w:val="center"/>
            <w:hideMark/>
          </w:tcPr>
          <w:p w14:paraId="05A5110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288BF0C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Norway</w:t>
            </w:r>
          </w:p>
        </w:tc>
        <w:tc>
          <w:tcPr>
            <w:tcW w:w="2157" w:type="dxa"/>
            <w:tcBorders>
              <w:top w:val="nil"/>
              <w:left w:val="nil"/>
              <w:bottom w:val="nil"/>
              <w:right w:val="nil"/>
            </w:tcBorders>
            <w:shd w:val="clear" w:color="auto" w:fill="auto"/>
            <w:noWrap/>
            <w:vAlign w:val="center"/>
            <w:hideMark/>
          </w:tcPr>
          <w:p w14:paraId="1BA18A1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ATE</w:t>
            </w:r>
          </w:p>
        </w:tc>
        <w:tc>
          <w:tcPr>
            <w:tcW w:w="909" w:type="dxa"/>
            <w:tcBorders>
              <w:top w:val="nil"/>
              <w:left w:val="nil"/>
              <w:bottom w:val="nil"/>
              <w:right w:val="nil"/>
            </w:tcBorders>
            <w:shd w:val="clear" w:color="auto" w:fill="auto"/>
            <w:noWrap/>
            <w:vAlign w:val="center"/>
            <w:hideMark/>
          </w:tcPr>
          <w:p w14:paraId="1F3C69BB"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1950</w:t>
            </w:r>
          </w:p>
        </w:tc>
        <w:tc>
          <w:tcPr>
            <w:tcW w:w="909" w:type="dxa"/>
            <w:tcBorders>
              <w:top w:val="nil"/>
              <w:left w:val="nil"/>
              <w:bottom w:val="nil"/>
              <w:right w:val="nil"/>
            </w:tcBorders>
            <w:shd w:val="clear" w:color="auto" w:fill="auto"/>
            <w:noWrap/>
            <w:vAlign w:val="center"/>
            <w:hideMark/>
          </w:tcPr>
          <w:p w14:paraId="6BB0F3B0"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330EEE42" w14:textId="77777777" w:rsidTr="00863FBF">
        <w:trPr>
          <w:trHeight w:val="290"/>
        </w:trPr>
        <w:tc>
          <w:tcPr>
            <w:tcW w:w="1338" w:type="dxa"/>
            <w:tcBorders>
              <w:top w:val="nil"/>
              <w:left w:val="nil"/>
              <w:bottom w:val="nil"/>
              <w:right w:val="nil"/>
            </w:tcBorders>
            <w:shd w:val="clear" w:color="auto" w:fill="auto"/>
            <w:noWrap/>
            <w:vAlign w:val="center"/>
            <w:hideMark/>
          </w:tcPr>
          <w:p w14:paraId="4B5B2B6A"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PSHRV</w:t>
            </w:r>
          </w:p>
        </w:tc>
        <w:tc>
          <w:tcPr>
            <w:tcW w:w="1337" w:type="dxa"/>
            <w:tcBorders>
              <w:top w:val="nil"/>
              <w:left w:val="nil"/>
              <w:bottom w:val="nil"/>
              <w:right w:val="nil"/>
            </w:tcBorders>
            <w:shd w:val="clear" w:color="auto" w:fill="auto"/>
            <w:noWrap/>
            <w:vAlign w:val="center"/>
            <w:hideMark/>
          </w:tcPr>
          <w:p w14:paraId="039D550F"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45D4C1DE"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EU.Croatia</w:t>
            </w:r>
            <w:proofErr w:type="spellEnd"/>
          </w:p>
        </w:tc>
        <w:tc>
          <w:tcPr>
            <w:tcW w:w="2157" w:type="dxa"/>
            <w:tcBorders>
              <w:top w:val="nil"/>
              <w:left w:val="nil"/>
              <w:bottom w:val="nil"/>
              <w:right w:val="nil"/>
            </w:tcBorders>
            <w:shd w:val="clear" w:color="auto" w:fill="auto"/>
            <w:noWrap/>
            <w:vAlign w:val="center"/>
            <w:hideMark/>
          </w:tcPr>
          <w:p w14:paraId="0E1E3BF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Med</w:t>
            </w:r>
          </w:p>
        </w:tc>
        <w:tc>
          <w:tcPr>
            <w:tcW w:w="909" w:type="dxa"/>
            <w:tcBorders>
              <w:top w:val="nil"/>
              <w:left w:val="nil"/>
              <w:bottom w:val="nil"/>
              <w:right w:val="nil"/>
            </w:tcBorders>
            <w:shd w:val="clear" w:color="auto" w:fill="auto"/>
            <w:noWrap/>
            <w:vAlign w:val="center"/>
            <w:hideMark/>
          </w:tcPr>
          <w:p w14:paraId="38EE3B4F"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1991</w:t>
            </w:r>
          </w:p>
        </w:tc>
        <w:tc>
          <w:tcPr>
            <w:tcW w:w="909" w:type="dxa"/>
            <w:tcBorders>
              <w:top w:val="nil"/>
              <w:left w:val="nil"/>
              <w:bottom w:val="nil"/>
              <w:right w:val="nil"/>
            </w:tcBorders>
            <w:shd w:val="clear" w:color="auto" w:fill="auto"/>
            <w:noWrap/>
            <w:vAlign w:val="center"/>
            <w:hideMark/>
          </w:tcPr>
          <w:p w14:paraId="2666065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0A426BB4" w14:textId="77777777" w:rsidTr="00863FBF">
        <w:trPr>
          <w:trHeight w:val="290"/>
        </w:trPr>
        <w:tc>
          <w:tcPr>
            <w:tcW w:w="1338" w:type="dxa"/>
            <w:tcBorders>
              <w:top w:val="nil"/>
              <w:left w:val="nil"/>
              <w:bottom w:val="nil"/>
              <w:right w:val="nil"/>
            </w:tcBorders>
            <w:shd w:val="clear" w:color="auto" w:fill="auto"/>
            <w:noWrap/>
            <w:vAlign w:val="center"/>
            <w:hideMark/>
          </w:tcPr>
          <w:p w14:paraId="5ED736F6"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PSWold</w:t>
            </w:r>
            <w:proofErr w:type="spellEnd"/>
          </w:p>
        </w:tc>
        <w:tc>
          <w:tcPr>
            <w:tcW w:w="1337" w:type="dxa"/>
            <w:tcBorders>
              <w:top w:val="nil"/>
              <w:left w:val="nil"/>
              <w:bottom w:val="nil"/>
              <w:right w:val="nil"/>
            </w:tcBorders>
            <w:shd w:val="clear" w:color="auto" w:fill="auto"/>
            <w:noWrap/>
            <w:vAlign w:val="center"/>
            <w:hideMark/>
          </w:tcPr>
          <w:p w14:paraId="0164652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0389E862"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 Canada</w:t>
            </w:r>
          </w:p>
        </w:tc>
        <w:tc>
          <w:tcPr>
            <w:tcW w:w="2157" w:type="dxa"/>
            <w:tcBorders>
              <w:top w:val="nil"/>
              <w:left w:val="nil"/>
              <w:bottom w:val="nil"/>
              <w:right w:val="nil"/>
            </w:tcBorders>
            <w:shd w:val="clear" w:color="auto" w:fill="auto"/>
            <w:noWrap/>
            <w:vAlign w:val="center"/>
            <w:hideMark/>
          </w:tcPr>
          <w:p w14:paraId="5CA4AF3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bottom w:val="nil"/>
              <w:right w:val="nil"/>
            </w:tcBorders>
            <w:shd w:val="clear" w:color="auto" w:fill="auto"/>
            <w:noWrap/>
            <w:vAlign w:val="center"/>
            <w:hideMark/>
          </w:tcPr>
          <w:p w14:paraId="34E21453"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603271BE"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1984</w:t>
            </w:r>
          </w:p>
        </w:tc>
      </w:tr>
      <w:tr w:rsidR="00863FBF" w:rsidRPr="00863FBF" w14:paraId="5423F762" w14:textId="77777777" w:rsidTr="00863FBF">
        <w:trPr>
          <w:trHeight w:val="290"/>
        </w:trPr>
        <w:tc>
          <w:tcPr>
            <w:tcW w:w="1338" w:type="dxa"/>
            <w:tcBorders>
              <w:top w:val="nil"/>
              <w:left w:val="nil"/>
              <w:bottom w:val="nil"/>
              <w:right w:val="nil"/>
            </w:tcBorders>
            <w:shd w:val="clear" w:color="auto" w:fill="auto"/>
            <w:noWrap/>
            <w:vAlign w:val="center"/>
            <w:hideMark/>
          </w:tcPr>
          <w:p w14:paraId="312A9E86"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PSWnew</w:t>
            </w:r>
            <w:proofErr w:type="spellEnd"/>
          </w:p>
        </w:tc>
        <w:tc>
          <w:tcPr>
            <w:tcW w:w="1337" w:type="dxa"/>
            <w:tcBorders>
              <w:top w:val="nil"/>
              <w:left w:val="nil"/>
              <w:bottom w:val="nil"/>
              <w:right w:val="nil"/>
            </w:tcBorders>
            <w:shd w:val="clear" w:color="auto" w:fill="auto"/>
            <w:noWrap/>
            <w:vAlign w:val="center"/>
            <w:hideMark/>
          </w:tcPr>
          <w:p w14:paraId="4B10551E"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PS</w:t>
            </w:r>
          </w:p>
        </w:tc>
        <w:tc>
          <w:tcPr>
            <w:tcW w:w="2710" w:type="dxa"/>
            <w:tcBorders>
              <w:top w:val="nil"/>
              <w:left w:val="nil"/>
              <w:bottom w:val="nil"/>
              <w:right w:val="nil"/>
            </w:tcBorders>
            <w:shd w:val="clear" w:color="auto" w:fill="auto"/>
            <w:noWrap/>
            <w:vAlign w:val="center"/>
            <w:hideMark/>
          </w:tcPr>
          <w:p w14:paraId="4C9E42F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 Canada</w:t>
            </w:r>
          </w:p>
        </w:tc>
        <w:tc>
          <w:tcPr>
            <w:tcW w:w="2157" w:type="dxa"/>
            <w:tcBorders>
              <w:top w:val="nil"/>
              <w:left w:val="nil"/>
              <w:bottom w:val="nil"/>
              <w:right w:val="nil"/>
            </w:tcBorders>
            <w:shd w:val="clear" w:color="auto" w:fill="auto"/>
            <w:noWrap/>
            <w:vAlign w:val="center"/>
            <w:hideMark/>
          </w:tcPr>
          <w:p w14:paraId="6E7B696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bottom w:val="nil"/>
              <w:right w:val="nil"/>
            </w:tcBorders>
            <w:shd w:val="clear" w:color="auto" w:fill="auto"/>
            <w:noWrap/>
            <w:vAlign w:val="center"/>
            <w:hideMark/>
          </w:tcPr>
          <w:p w14:paraId="0F884BD3"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1985</w:t>
            </w:r>
          </w:p>
        </w:tc>
        <w:tc>
          <w:tcPr>
            <w:tcW w:w="909" w:type="dxa"/>
            <w:tcBorders>
              <w:top w:val="nil"/>
              <w:left w:val="nil"/>
              <w:bottom w:val="nil"/>
              <w:right w:val="nil"/>
            </w:tcBorders>
            <w:shd w:val="clear" w:color="auto" w:fill="auto"/>
            <w:noWrap/>
            <w:vAlign w:val="center"/>
            <w:hideMark/>
          </w:tcPr>
          <w:p w14:paraId="7AD18D3B"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6992E33F" w14:textId="77777777" w:rsidTr="00863FBF">
        <w:trPr>
          <w:trHeight w:val="290"/>
        </w:trPr>
        <w:tc>
          <w:tcPr>
            <w:tcW w:w="1338" w:type="dxa"/>
            <w:tcBorders>
              <w:top w:val="nil"/>
              <w:left w:val="nil"/>
              <w:bottom w:val="nil"/>
              <w:right w:val="nil"/>
            </w:tcBorders>
            <w:shd w:val="clear" w:color="auto" w:fill="auto"/>
            <w:noWrap/>
            <w:vAlign w:val="center"/>
            <w:hideMark/>
          </w:tcPr>
          <w:p w14:paraId="02D65AA0"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TPold</w:t>
            </w:r>
            <w:proofErr w:type="spellEnd"/>
          </w:p>
        </w:tc>
        <w:tc>
          <w:tcPr>
            <w:tcW w:w="1337" w:type="dxa"/>
            <w:tcBorders>
              <w:top w:val="nil"/>
              <w:left w:val="nil"/>
              <w:bottom w:val="nil"/>
              <w:right w:val="nil"/>
            </w:tcBorders>
            <w:shd w:val="clear" w:color="auto" w:fill="auto"/>
            <w:noWrap/>
            <w:vAlign w:val="center"/>
            <w:hideMark/>
          </w:tcPr>
          <w:p w14:paraId="745F4E7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TP</w:t>
            </w:r>
          </w:p>
        </w:tc>
        <w:tc>
          <w:tcPr>
            <w:tcW w:w="2710" w:type="dxa"/>
            <w:tcBorders>
              <w:top w:val="nil"/>
              <w:left w:val="nil"/>
              <w:bottom w:val="nil"/>
              <w:right w:val="nil"/>
            </w:tcBorders>
            <w:shd w:val="clear" w:color="auto" w:fill="auto"/>
            <w:noWrap/>
            <w:vAlign w:val="center"/>
            <w:hideMark/>
          </w:tcPr>
          <w:p w14:paraId="0751263D"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Morocco, EU. Portugal</w:t>
            </w:r>
          </w:p>
        </w:tc>
        <w:tc>
          <w:tcPr>
            <w:tcW w:w="2157" w:type="dxa"/>
            <w:tcBorders>
              <w:top w:val="nil"/>
              <w:left w:val="nil"/>
              <w:bottom w:val="nil"/>
              <w:right w:val="nil"/>
            </w:tcBorders>
            <w:shd w:val="clear" w:color="auto" w:fill="auto"/>
            <w:noWrap/>
            <w:vAlign w:val="center"/>
            <w:hideMark/>
          </w:tcPr>
          <w:p w14:paraId="4F34ACD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St. </w:t>
            </w:r>
            <w:proofErr w:type="spellStart"/>
            <w:r w:rsidRPr="00863FBF">
              <w:rPr>
                <w:rFonts w:eastAsia="Times New Roman" w:cs="Times New Roman"/>
                <w:color w:val="000000"/>
                <w:szCs w:val="20"/>
                <w:lang w:val="en-US"/>
              </w:rPr>
              <w:t>Gibrartar</w:t>
            </w:r>
            <w:proofErr w:type="spellEnd"/>
          </w:p>
        </w:tc>
        <w:tc>
          <w:tcPr>
            <w:tcW w:w="909" w:type="dxa"/>
            <w:tcBorders>
              <w:top w:val="nil"/>
              <w:left w:val="nil"/>
              <w:bottom w:val="nil"/>
              <w:right w:val="nil"/>
            </w:tcBorders>
            <w:shd w:val="clear" w:color="auto" w:fill="auto"/>
            <w:noWrap/>
            <w:vAlign w:val="center"/>
            <w:hideMark/>
          </w:tcPr>
          <w:p w14:paraId="32D72379"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1950</w:t>
            </w:r>
          </w:p>
        </w:tc>
        <w:tc>
          <w:tcPr>
            <w:tcW w:w="909" w:type="dxa"/>
            <w:tcBorders>
              <w:top w:val="nil"/>
              <w:left w:val="nil"/>
              <w:bottom w:val="nil"/>
              <w:right w:val="nil"/>
            </w:tcBorders>
            <w:shd w:val="clear" w:color="auto" w:fill="auto"/>
            <w:noWrap/>
            <w:vAlign w:val="center"/>
            <w:hideMark/>
          </w:tcPr>
          <w:p w14:paraId="0278A65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2011</w:t>
            </w:r>
          </w:p>
        </w:tc>
      </w:tr>
      <w:tr w:rsidR="00863FBF" w:rsidRPr="00863FBF" w14:paraId="3620908F" w14:textId="77777777" w:rsidTr="00863FBF">
        <w:trPr>
          <w:trHeight w:val="290"/>
        </w:trPr>
        <w:tc>
          <w:tcPr>
            <w:tcW w:w="1338" w:type="dxa"/>
            <w:tcBorders>
              <w:top w:val="nil"/>
              <w:left w:val="nil"/>
              <w:bottom w:val="nil"/>
              <w:right w:val="nil"/>
            </w:tcBorders>
            <w:shd w:val="clear" w:color="auto" w:fill="auto"/>
            <w:noWrap/>
            <w:vAlign w:val="center"/>
            <w:hideMark/>
          </w:tcPr>
          <w:p w14:paraId="4324E133"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TPnew</w:t>
            </w:r>
            <w:proofErr w:type="spellEnd"/>
          </w:p>
        </w:tc>
        <w:tc>
          <w:tcPr>
            <w:tcW w:w="1337" w:type="dxa"/>
            <w:tcBorders>
              <w:top w:val="nil"/>
              <w:left w:val="nil"/>
              <w:bottom w:val="nil"/>
              <w:right w:val="nil"/>
            </w:tcBorders>
            <w:shd w:val="clear" w:color="auto" w:fill="auto"/>
            <w:noWrap/>
            <w:vAlign w:val="center"/>
            <w:hideMark/>
          </w:tcPr>
          <w:p w14:paraId="78E02EED"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TP</w:t>
            </w:r>
          </w:p>
        </w:tc>
        <w:tc>
          <w:tcPr>
            <w:tcW w:w="2710" w:type="dxa"/>
            <w:tcBorders>
              <w:top w:val="nil"/>
              <w:left w:val="nil"/>
              <w:bottom w:val="nil"/>
              <w:right w:val="nil"/>
            </w:tcBorders>
            <w:shd w:val="clear" w:color="auto" w:fill="auto"/>
            <w:noWrap/>
            <w:vAlign w:val="center"/>
            <w:hideMark/>
          </w:tcPr>
          <w:p w14:paraId="4B752C4A" w14:textId="77777777" w:rsidR="00863FBF" w:rsidRPr="00863FBF" w:rsidRDefault="00863FBF" w:rsidP="00863FBF">
            <w:pPr>
              <w:rPr>
                <w:rFonts w:eastAsia="Times New Roman" w:cs="Times New Roman"/>
                <w:color w:val="000000"/>
                <w:szCs w:val="20"/>
                <w:lang w:val="en-US"/>
              </w:rPr>
            </w:pPr>
            <w:proofErr w:type="spellStart"/>
            <w:r w:rsidRPr="00863FBF">
              <w:rPr>
                <w:rFonts w:eastAsia="Times New Roman" w:cs="Times New Roman"/>
                <w:color w:val="000000"/>
                <w:szCs w:val="20"/>
                <w:lang w:val="en-US"/>
              </w:rPr>
              <w:t>EU.Spain</w:t>
            </w:r>
            <w:proofErr w:type="spellEnd"/>
            <w:r w:rsidRPr="00863FBF">
              <w:rPr>
                <w:rFonts w:eastAsia="Times New Roman" w:cs="Times New Roman"/>
                <w:color w:val="000000"/>
                <w:szCs w:val="20"/>
                <w:lang w:val="en-US"/>
              </w:rPr>
              <w:t>, Morocco, EU. Portugal</w:t>
            </w:r>
          </w:p>
        </w:tc>
        <w:tc>
          <w:tcPr>
            <w:tcW w:w="2157" w:type="dxa"/>
            <w:tcBorders>
              <w:top w:val="nil"/>
              <w:left w:val="nil"/>
              <w:bottom w:val="nil"/>
              <w:right w:val="nil"/>
            </w:tcBorders>
            <w:shd w:val="clear" w:color="auto" w:fill="auto"/>
            <w:noWrap/>
            <w:vAlign w:val="center"/>
            <w:hideMark/>
          </w:tcPr>
          <w:p w14:paraId="6930E5D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 xml:space="preserve">St. </w:t>
            </w:r>
            <w:proofErr w:type="spellStart"/>
            <w:r w:rsidRPr="00863FBF">
              <w:rPr>
                <w:rFonts w:eastAsia="Times New Roman" w:cs="Times New Roman"/>
                <w:color w:val="000000"/>
                <w:szCs w:val="20"/>
                <w:lang w:val="en-US"/>
              </w:rPr>
              <w:t>Gibrartar</w:t>
            </w:r>
            <w:proofErr w:type="spellEnd"/>
          </w:p>
        </w:tc>
        <w:tc>
          <w:tcPr>
            <w:tcW w:w="909" w:type="dxa"/>
            <w:tcBorders>
              <w:top w:val="nil"/>
              <w:left w:val="nil"/>
              <w:bottom w:val="nil"/>
              <w:right w:val="nil"/>
            </w:tcBorders>
            <w:shd w:val="clear" w:color="auto" w:fill="auto"/>
            <w:noWrap/>
            <w:vAlign w:val="center"/>
            <w:hideMark/>
          </w:tcPr>
          <w:p w14:paraId="13EDD2C8"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2012</w:t>
            </w:r>
          </w:p>
        </w:tc>
        <w:tc>
          <w:tcPr>
            <w:tcW w:w="909" w:type="dxa"/>
            <w:tcBorders>
              <w:top w:val="nil"/>
              <w:left w:val="nil"/>
              <w:bottom w:val="nil"/>
              <w:right w:val="nil"/>
            </w:tcBorders>
            <w:shd w:val="clear" w:color="auto" w:fill="auto"/>
            <w:noWrap/>
            <w:vAlign w:val="center"/>
            <w:hideMark/>
          </w:tcPr>
          <w:p w14:paraId="25BBF130"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28CC0127" w14:textId="77777777" w:rsidTr="00863FBF">
        <w:trPr>
          <w:trHeight w:val="290"/>
        </w:trPr>
        <w:tc>
          <w:tcPr>
            <w:tcW w:w="1338" w:type="dxa"/>
            <w:tcBorders>
              <w:top w:val="nil"/>
              <w:left w:val="nil"/>
              <w:bottom w:val="nil"/>
              <w:right w:val="nil"/>
            </w:tcBorders>
            <w:shd w:val="clear" w:color="auto" w:fill="auto"/>
            <w:noWrap/>
            <w:vAlign w:val="center"/>
            <w:hideMark/>
          </w:tcPr>
          <w:p w14:paraId="1A569ACA"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RRCAN</w:t>
            </w:r>
          </w:p>
        </w:tc>
        <w:tc>
          <w:tcPr>
            <w:tcW w:w="1337" w:type="dxa"/>
            <w:tcBorders>
              <w:top w:val="nil"/>
              <w:left w:val="nil"/>
              <w:bottom w:val="nil"/>
              <w:right w:val="nil"/>
            </w:tcBorders>
            <w:shd w:val="clear" w:color="auto" w:fill="auto"/>
            <w:noWrap/>
            <w:vAlign w:val="center"/>
            <w:hideMark/>
          </w:tcPr>
          <w:p w14:paraId="077CECE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w:t>
            </w:r>
          </w:p>
        </w:tc>
        <w:tc>
          <w:tcPr>
            <w:tcW w:w="2710" w:type="dxa"/>
            <w:tcBorders>
              <w:top w:val="nil"/>
              <w:left w:val="nil"/>
              <w:bottom w:val="nil"/>
              <w:right w:val="nil"/>
            </w:tcBorders>
            <w:shd w:val="clear" w:color="auto" w:fill="auto"/>
            <w:noWrap/>
            <w:vAlign w:val="center"/>
            <w:hideMark/>
          </w:tcPr>
          <w:p w14:paraId="5E98681A"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Canada</w:t>
            </w:r>
          </w:p>
        </w:tc>
        <w:tc>
          <w:tcPr>
            <w:tcW w:w="2157" w:type="dxa"/>
            <w:tcBorders>
              <w:top w:val="nil"/>
              <w:left w:val="nil"/>
              <w:bottom w:val="nil"/>
              <w:right w:val="nil"/>
            </w:tcBorders>
            <w:shd w:val="clear" w:color="auto" w:fill="auto"/>
            <w:noWrap/>
            <w:vAlign w:val="center"/>
            <w:hideMark/>
          </w:tcPr>
          <w:p w14:paraId="17DE8AA9"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 GSL</w:t>
            </w:r>
          </w:p>
        </w:tc>
        <w:tc>
          <w:tcPr>
            <w:tcW w:w="909" w:type="dxa"/>
            <w:tcBorders>
              <w:top w:val="nil"/>
              <w:left w:val="nil"/>
              <w:bottom w:val="nil"/>
              <w:right w:val="nil"/>
            </w:tcBorders>
            <w:shd w:val="clear" w:color="auto" w:fill="auto"/>
            <w:noWrap/>
            <w:vAlign w:val="center"/>
            <w:hideMark/>
          </w:tcPr>
          <w:p w14:paraId="4F7A275F"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1C454746"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7B1CF0F" w14:textId="77777777" w:rsidTr="00863FBF">
        <w:trPr>
          <w:trHeight w:val="290"/>
        </w:trPr>
        <w:tc>
          <w:tcPr>
            <w:tcW w:w="1338" w:type="dxa"/>
            <w:tcBorders>
              <w:top w:val="nil"/>
              <w:left w:val="nil"/>
              <w:bottom w:val="nil"/>
              <w:right w:val="nil"/>
            </w:tcBorders>
            <w:shd w:val="clear" w:color="auto" w:fill="auto"/>
            <w:noWrap/>
            <w:vAlign w:val="center"/>
            <w:hideMark/>
          </w:tcPr>
          <w:p w14:paraId="3554FBE7"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RRUSAFS</w:t>
            </w:r>
          </w:p>
        </w:tc>
        <w:tc>
          <w:tcPr>
            <w:tcW w:w="1337" w:type="dxa"/>
            <w:tcBorders>
              <w:top w:val="nil"/>
              <w:left w:val="nil"/>
              <w:bottom w:val="nil"/>
              <w:right w:val="nil"/>
            </w:tcBorders>
            <w:shd w:val="clear" w:color="auto" w:fill="auto"/>
            <w:noWrap/>
            <w:vAlign w:val="center"/>
            <w:hideMark/>
          </w:tcPr>
          <w:p w14:paraId="1850926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w:t>
            </w:r>
          </w:p>
        </w:tc>
        <w:tc>
          <w:tcPr>
            <w:tcW w:w="2710" w:type="dxa"/>
            <w:tcBorders>
              <w:top w:val="nil"/>
              <w:left w:val="nil"/>
              <w:bottom w:val="nil"/>
              <w:right w:val="nil"/>
            </w:tcBorders>
            <w:shd w:val="clear" w:color="auto" w:fill="auto"/>
            <w:noWrap/>
            <w:vAlign w:val="center"/>
            <w:hideMark/>
          </w:tcPr>
          <w:p w14:paraId="660C555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w:t>
            </w:r>
          </w:p>
        </w:tc>
        <w:tc>
          <w:tcPr>
            <w:tcW w:w="2157" w:type="dxa"/>
            <w:tcBorders>
              <w:top w:val="nil"/>
              <w:left w:val="nil"/>
              <w:bottom w:val="nil"/>
              <w:right w:val="nil"/>
            </w:tcBorders>
            <w:shd w:val="clear" w:color="auto" w:fill="auto"/>
            <w:noWrap/>
            <w:vAlign w:val="center"/>
            <w:hideMark/>
          </w:tcPr>
          <w:p w14:paraId="023232F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bottom w:val="nil"/>
              <w:right w:val="nil"/>
            </w:tcBorders>
            <w:shd w:val="clear" w:color="auto" w:fill="auto"/>
            <w:noWrap/>
            <w:vAlign w:val="center"/>
            <w:hideMark/>
          </w:tcPr>
          <w:p w14:paraId="5AD8D63C"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nil"/>
              <w:right w:val="nil"/>
            </w:tcBorders>
            <w:shd w:val="clear" w:color="auto" w:fill="auto"/>
            <w:noWrap/>
            <w:vAlign w:val="center"/>
            <w:hideMark/>
          </w:tcPr>
          <w:p w14:paraId="4B9FACB7"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39E54110" w14:textId="77777777" w:rsidTr="00863FBF">
        <w:trPr>
          <w:trHeight w:val="290"/>
        </w:trPr>
        <w:tc>
          <w:tcPr>
            <w:tcW w:w="1338" w:type="dxa"/>
            <w:tcBorders>
              <w:top w:val="nil"/>
              <w:left w:val="nil"/>
              <w:right w:val="nil"/>
            </w:tcBorders>
            <w:shd w:val="clear" w:color="auto" w:fill="auto"/>
            <w:noWrap/>
            <w:vAlign w:val="center"/>
            <w:hideMark/>
          </w:tcPr>
          <w:p w14:paraId="0B613F7B"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RRUSAFB</w:t>
            </w:r>
          </w:p>
        </w:tc>
        <w:tc>
          <w:tcPr>
            <w:tcW w:w="1337" w:type="dxa"/>
            <w:tcBorders>
              <w:top w:val="nil"/>
              <w:left w:val="nil"/>
              <w:right w:val="nil"/>
            </w:tcBorders>
            <w:shd w:val="clear" w:color="auto" w:fill="auto"/>
            <w:noWrap/>
            <w:vAlign w:val="center"/>
            <w:hideMark/>
          </w:tcPr>
          <w:p w14:paraId="2CCCFAA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RR</w:t>
            </w:r>
          </w:p>
        </w:tc>
        <w:tc>
          <w:tcPr>
            <w:tcW w:w="2710" w:type="dxa"/>
            <w:tcBorders>
              <w:top w:val="nil"/>
              <w:left w:val="nil"/>
              <w:right w:val="nil"/>
            </w:tcBorders>
            <w:shd w:val="clear" w:color="auto" w:fill="auto"/>
            <w:noWrap/>
            <w:vAlign w:val="center"/>
            <w:hideMark/>
          </w:tcPr>
          <w:p w14:paraId="4EB959AC"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USA</w:t>
            </w:r>
          </w:p>
        </w:tc>
        <w:tc>
          <w:tcPr>
            <w:tcW w:w="2157" w:type="dxa"/>
            <w:tcBorders>
              <w:top w:val="nil"/>
              <w:left w:val="nil"/>
              <w:right w:val="nil"/>
            </w:tcBorders>
            <w:shd w:val="clear" w:color="auto" w:fill="auto"/>
            <w:noWrap/>
            <w:vAlign w:val="center"/>
            <w:hideMark/>
          </w:tcPr>
          <w:p w14:paraId="37B1F660"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ATW</w:t>
            </w:r>
          </w:p>
        </w:tc>
        <w:tc>
          <w:tcPr>
            <w:tcW w:w="909" w:type="dxa"/>
            <w:tcBorders>
              <w:top w:val="nil"/>
              <w:left w:val="nil"/>
              <w:right w:val="nil"/>
            </w:tcBorders>
            <w:shd w:val="clear" w:color="auto" w:fill="auto"/>
            <w:noWrap/>
            <w:vAlign w:val="center"/>
            <w:hideMark/>
          </w:tcPr>
          <w:p w14:paraId="41458104"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right w:val="nil"/>
            </w:tcBorders>
            <w:shd w:val="clear" w:color="auto" w:fill="auto"/>
            <w:noWrap/>
            <w:vAlign w:val="center"/>
            <w:hideMark/>
          </w:tcPr>
          <w:p w14:paraId="22733C83"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r w:rsidR="00863FBF" w:rsidRPr="00863FBF" w14:paraId="439590F7" w14:textId="77777777" w:rsidTr="00863FBF">
        <w:trPr>
          <w:trHeight w:val="290"/>
        </w:trPr>
        <w:tc>
          <w:tcPr>
            <w:tcW w:w="1338" w:type="dxa"/>
            <w:tcBorders>
              <w:top w:val="nil"/>
              <w:left w:val="nil"/>
              <w:bottom w:val="single" w:sz="4" w:space="0" w:color="auto"/>
              <w:right w:val="nil"/>
            </w:tcBorders>
            <w:shd w:val="clear" w:color="auto" w:fill="auto"/>
            <w:noWrap/>
            <w:vAlign w:val="center"/>
            <w:hideMark/>
          </w:tcPr>
          <w:p w14:paraId="2AFDC3A1"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w:t>
            </w:r>
          </w:p>
        </w:tc>
        <w:tc>
          <w:tcPr>
            <w:tcW w:w="1337" w:type="dxa"/>
            <w:tcBorders>
              <w:top w:val="nil"/>
              <w:left w:val="nil"/>
              <w:bottom w:val="single" w:sz="4" w:space="0" w:color="auto"/>
              <w:right w:val="nil"/>
            </w:tcBorders>
            <w:shd w:val="clear" w:color="auto" w:fill="auto"/>
            <w:noWrap/>
            <w:vAlign w:val="center"/>
            <w:hideMark/>
          </w:tcPr>
          <w:p w14:paraId="6446AF88"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other</w:t>
            </w:r>
          </w:p>
        </w:tc>
        <w:tc>
          <w:tcPr>
            <w:tcW w:w="2710" w:type="dxa"/>
            <w:tcBorders>
              <w:top w:val="nil"/>
              <w:left w:val="nil"/>
              <w:bottom w:val="single" w:sz="4" w:space="0" w:color="auto"/>
              <w:right w:val="nil"/>
            </w:tcBorders>
            <w:shd w:val="clear" w:color="auto" w:fill="auto"/>
            <w:noWrap/>
            <w:vAlign w:val="center"/>
            <w:hideMark/>
          </w:tcPr>
          <w:p w14:paraId="06C8EF84"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other</w:t>
            </w:r>
          </w:p>
        </w:tc>
        <w:tc>
          <w:tcPr>
            <w:tcW w:w="2157" w:type="dxa"/>
            <w:tcBorders>
              <w:top w:val="nil"/>
              <w:left w:val="nil"/>
              <w:bottom w:val="single" w:sz="4" w:space="0" w:color="auto"/>
              <w:right w:val="nil"/>
            </w:tcBorders>
            <w:shd w:val="clear" w:color="auto" w:fill="auto"/>
            <w:noWrap/>
            <w:vAlign w:val="center"/>
            <w:hideMark/>
          </w:tcPr>
          <w:p w14:paraId="65995F23" w14:textId="77777777" w:rsidR="00863FBF" w:rsidRPr="00863FBF" w:rsidRDefault="00863FBF" w:rsidP="00863FBF">
            <w:pPr>
              <w:rPr>
                <w:rFonts w:eastAsia="Times New Roman" w:cs="Times New Roman"/>
                <w:color w:val="000000"/>
                <w:szCs w:val="20"/>
                <w:lang w:val="en-US"/>
              </w:rPr>
            </w:pPr>
            <w:r w:rsidRPr="00863FBF">
              <w:rPr>
                <w:rFonts w:eastAsia="Times New Roman" w:cs="Times New Roman"/>
                <w:color w:val="000000"/>
                <w:szCs w:val="20"/>
                <w:lang w:val="en-US"/>
              </w:rPr>
              <w:t>other</w:t>
            </w:r>
          </w:p>
        </w:tc>
        <w:tc>
          <w:tcPr>
            <w:tcW w:w="909" w:type="dxa"/>
            <w:tcBorders>
              <w:top w:val="nil"/>
              <w:left w:val="nil"/>
              <w:bottom w:val="single" w:sz="4" w:space="0" w:color="auto"/>
              <w:right w:val="nil"/>
            </w:tcBorders>
            <w:shd w:val="clear" w:color="auto" w:fill="auto"/>
            <w:noWrap/>
            <w:vAlign w:val="center"/>
            <w:hideMark/>
          </w:tcPr>
          <w:p w14:paraId="47E3A6CB"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1960</w:t>
            </w:r>
          </w:p>
        </w:tc>
        <w:tc>
          <w:tcPr>
            <w:tcW w:w="909" w:type="dxa"/>
            <w:tcBorders>
              <w:top w:val="nil"/>
              <w:left w:val="nil"/>
              <w:bottom w:val="single" w:sz="4" w:space="0" w:color="auto"/>
              <w:right w:val="nil"/>
            </w:tcBorders>
            <w:shd w:val="clear" w:color="auto" w:fill="auto"/>
            <w:noWrap/>
            <w:vAlign w:val="center"/>
            <w:hideMark/>
          </w:tcPr>
          <w:p w14:paraId="038294DD" w14:textId="77777777" w:rsidR="00863FBF" w:rsidRPr="00863FBF" w:rsidRDefault="00863FBF" w:rsidP="00863FBF">
            <w:pPr>
              <w:jc w:val="right"/>
              <w:rPr>
                <w:rFonts w:eastAsia="Times New Roman" w:cs="Times New Roman"/>
                <w:color w:val="000000"/>
                <w:szCs w:val="20"/>
                <w:lang w:val="en-US"/>
              </w:rPr>
            </w:pPr>
            <w:r w:rsidRPr="00863FBF">
              <w:rPr>
                <w:rFonts w:eastAsia="Times New Roman" w:cs="Times New Roman"/>
                <w:color w:val="000000"/>
                <w:szCs w:val="20"/>
                <w:lang w:val="en-US"/>
              </w:rPr>
              <w:t>2016</w:t>
            </w:r>
          </w:p>
        </w:tc>
      </w:tr>
    </w:tbl>
    <w:p w14:paraId="69462A90" w14:textId="77777777" w:rsidR="00863FBF" w:rsidRPr="00863FBF" w:rsidRDefault="00863FBF" w:rsidP="00BE1E57">
      <w:pPr>
        <w:jc w:val="both"/>
        <w:rPr>
          <w:szCs w:val="20"/>
        </w:rPr>
      </w:pPr>
    </w:p>
    <w:p w14:paraId="58408525" w14:textId="2630D365" w:rsidR="00863FBF" w:rsidRDefault="00863FBF" w:rsidP="00BE1E57">
      <w:pPr>
        <w:jc w:val="both"/>
        <w:rPr>
          <w:szCs w:val="20"/>
        </w:rPr>
      </w:pPr>
      <w:r>
        <w:rPr>
          <w:szCs w:val="20"/>
        </w:rPr>
        <w:t xml:space="preserve">Implementing the GLM in R yields an object of class ‘LM’ that can be used with the ‘predict’ function to generate a predicted master index for each year, season and area </w:t>
      </w:r>
      <m:oMath>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s,a,y</m:t>
            </m:r>
          </m:sub>
          <m:sup>
            <m:r>
              <w:rPr>
                <w:rFonts w:ascii="Cambria Math" w:hAnsi="Cambria Math"/>
                <w:szCs w:val="20"/>
              </w:rPr>
              <m:t>GLM</m:t>
            </m:r>
          </m:sup>
        </m:sSubSup>
        <m:r>
          <w:rPr>
            <w:rFonts w:ascii="Cambria Math" w:hAnsi="Cambria Math"/>
            <w:szCs w:val="20"/>
          </w:rPr>
          <m:t xml:space="preserve"> </m:t>
        </m:r>
      </m:oMath>
      <w:r>
        <w:rPr>
          <w:szCs w:val="20"/>
        </w:rPr>
        <w:t xml:space="preserve">(Figure 1). </w:t>
      </w:r>
    </w:p>
    <w:p w14:paraId="1CF023B8" w14:textId="77777777" w:rsidR="00863FBF" w:rsidRDefault="00863FBF" w:rsidP="00BE1E57">
      <w:pPr>
        <w:jc w:val="both"/>
        <w:rPr>
          <w:szCs w:val="20"/>
        </w:rPr>
      </w:pPr>
    </w:p>
    <w:p w14:paraId="6CE80C67" w14:textId="3AC0E85C" w:rsidR="00863FBF" w:rsidRDefault="00863FBF" w:rsidP="00BE1E57">
      <w:pPr>
        <w:jc w:val="both"/>
        <w:rPr>
          <w:szCs w:val="20"/>
        </w:rPr>
      </w:pPr>
    </w:p>
    <w:p w14:paraId="159ED8AE" w14:textId="20232C59" w:rsidR="00863FBF" w:rsidRDefault="00863FBF" w:rsidP="00BE1E57">
      <w:pPr>
        <w:jc w:val="both"/>
        <w:rPr>
          <w:b/>
          <w:i/>
          <w:szCs w:val="20"/>
        </w:rPr>
      </w:pPr>
      <w:r w:rsidRPr="00863FBF">
        <w:rPr>
          <w:b/>
          <w:i/>
          <w:szCs w:val="20"/>
        </w:rPr>
        <w:t>2.2. Master Index ‘Assess-Tag’</w:t>
      </w:r>
    </w:p>
    <w:p w14:paraId="006928F4" w14:textId="16D1E34C" w:rsidR="00863FBF" w:rsidRDefault="00863FBF" w:rsidP="00BE1E57">
      <w:pPr>
        <w:jc w:val="both"/>
        <w:rPr>
          <w:b/>
          <w:i/>
          <w:szCs w:val="20"/>
        </w:rPr>
      </w:pPr>
    </w:p>
    <w:p w14:paraId="7FF5FAF8" w14:textId="77777777" w:rsidR="005835CE" w:rsidRDefault="00863FBF" w:rsidP="00BE1E57">
      <w:pPr>
        <w:jc w:val="both"/>
        <w:rPr>
          <w:szCs w:val="20"/>
        </w:rPr>
      </w:pPr>
      <w:r>
        <w:rPr>
          <w:szCs w:val="20"/>
        </w:rPr>
        <w:t xml:space="preserve">A second master index was derived </w:t>
      </w:r>
      <w:r w:rsidR="005835CE">
        <w:rPr>
          <w:szCs w:val="20"/>
        </w:rPr>
        <w:t>using</w:t>
      </w:r>
      <w:r>
        <w:rPr>
          <w:szCs w:val="20"/>
        </w:rPr>
        <w:t xml:space="preserve"> </w:t>
      </w:r>
      <w:r w:rsidR="005835CE">
        <w:rPr>
          <w:szCs w:val="20"/>
        </w:rPr>
        <w:t>different</w:t>
      </w:r>
      <w:r>
        <w:rPr>
          <w:szCs w:val="20"/>
        </w:rPr>
        <w:t xml:space="preserve"> data from t</w:t>
      </w:r>
      <w:r w:rsidR="005835CE">
        <w:rPr>
          <w:szCs w:val="20"/>
        </w:rPr>
        <w:t>hose used to construct the ‘GLM’</w:t>
      </w:r>
      <w:r>
        <w:rPr>
          <w:szCs w:val="20"/>
        </w:rPr>
        <w:t xml:space="preserve"> master index</w:t>
      </w:r>
      <w:r w:rsidR="005835CE">
        <w:rPr>
          <w:szCs w:val="20"/>
        </w:rPr>
        <w:t xml:space="preserve"> above. </w:t>
      </w:r>
    </w:p>
    <w:p w14:paraId="2B644532" w14:textId="77777777" w:rsidR="005835CE" w:rsidRDefault="005835CE" w:rsidP="00BE1E57">
      <w:pPr>
        <w:jc w:val="both"/>
        <w:rPr>
          <w:szCs w:val="20"/>
        </w:rPr>
      </w:pPr>
    </w:p>
    <w:p w14:paraId="238C0112" w14:textId="2EAB5A55" w:rsidR="005835CE" w:rsidRDefault="005835CE" w:rsidP="00BE1E57">
      <w:pPr>
        <w:jc w:val="both"/>
        <w:rPr>
          <w:szCs w:val="20"/>
        </w:rPr>
      </w:pPr>
      <w:r>
        <w:rPr>
          <w:szCs w:val="20"/>
        </w:rPr>
        <w:t xml:space="preserve">The electronic tagging data of known stock of origin </w:t>
      </w:r>
      <w:r w:rsidRPr="005835CE">
        <w:rPr>
          <w:i/>
          <w:szCs w:val="20"/>
        </w:rPr>
        <w:t>p</w:t>
      </w:r>
      <w:r>
        <w:rPr>
          <w:szCs w:val="20"/>
        </w:rPr>
        <w:t xml:space="preserve"> (fish that have been in either the Gulf of Mexico or the Mediterranean) were aggregated by season </w:t>
      </w:r>
      <w:r w:rsidRPr="005835CE">
        <w:rPr>
          <w:i/>
          <w:szCs w:val="20"/>
        </w:rPr>
        <w:t>s</w:t>
      </w:r>
      <w:r>
        <w:rPr>
          <w:szCs w:val="20"/>
        </w:rPr>
        <w:t xml:space="preserve">, area-from </w:t>
      </w:r>
      <w:r w:rsidRPr="005835CE">
        <w:rPr>
          <w:i/>
          <w:szCs w:val="20"/>
        </w:rPr>
        <w:t>a</w:t>
      </w:r>
      <w:r>
        <w:rPr>
          <w:szCs w:val="20"/>
        </w:rPr>
        <w:t xml:space="preserve">, area-to </w:t>
      </w:r>
      <w:r w:rsidRPr="005835CE">
        <w:rPr>
          <w:i/>
          <w:szCs w:val="20"/>
        </w:rPr>
        <w:t>k</w:t>
      </w:r>
      <w:r>
        <w:rPr>
          <w:szCs w:val="20"/>
        </w:rPr>
        <w:t xml:space="preserve">, into a matrix </w:t>
      </w:r>
      <w:r w:rsidRPr="005835CE">
        <w:rPr>
          <w:i/>
          <w:szCs w:val="20"/>
        </w:rPr>
        <w:t>T</w:t>
      </w:r>
      <w:r>
        <w:rPr>
          <w:szCs w:val="20"/>
        </w:rPr>
        <w:t xml:space="preserve">. Each row of this matrix was normalized to form a Markov movement matrix </w:t>
      </w:r>
      <w:r w:rsidRPr="005835CE">
        <w:rPr>
          <w:i/>
          <w:szCs w:val="20"/>
        </w:rPr>
        <w:t>V</w:t>
      </w:r>
      <w:r>
        <w:rPr>
          <w:szCs w:val="20"/>
        </w:rPr>
        <w:t xml:space="preserve"> such that the values summed to 1:</w:t>
      </w:r>
    </w:p>
    <w:p w14:paraId="50365334" w14:textId="77777777" w:rsidR="005835CE" w:rsidRDefault="005835CE" w:rsidP="00BE1E57">
      <w:pPr>
        <w:jc w:val="both"/>
        <w:rPr>
          <w:szCs w:val="20"/>
        </w:rPr>
      </w:pPr>
    </w:p>
    <w:p w14:paraId="0D099A87" w14:textId="37A956A8" w:rsidR="00863FBF" w:rsidRPr="00863FBF" w:rsidRDefault="00446E49" w:rsidP="003C46E4">
      <w:pPr>
        <w:ind w:firstLine="720"/>
        <w:jc w:val="both"/>
        <w:rPr>
          <w:szCs w:val="20"/>
        </w:rPr>
      </w:pPr>
      <m:oMath>
        <m:sSub>
          <m:sSubPr>
            <m:ctrlPr>
              <w:rPr>
                <w:rFonts w:ascii="Cambria Math" w:hAnsi="Cambria Math"/>
                <w:i/>
              </w:rPr>
            </m:ctrlPr>
          </m:sSubPr>
          <m:e>
            <m:r>
              <w:rPr>
                <w:rFonts w:ascii="Cambria Math" w:hAnsi="Cambria Math"/>
              </w:rPr>
              <m:t>V</m:t>
            </m:r>
          </m:e>
          <m:sub>
            <m:r>
              <w:rPr>
                <w:rFonts w:ascii="Cambria Math" w:hAnsi="Cambria Math"/>
              </w:rPr>
              <m:t>p, s,  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 s,  a,k</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m:t>
                    </m:r>
                  </m:e>
                  <m:sub>
                    <m:r>
                      <w:rPr>
                        <w:rFonts w:ascii="Cambria Math" w:hAnsi="Cambria Math"/>
                      </w:rPr>
                      <m:t>p, s,  a,k</m:t>
                    </m:r>
                  </m:sub>
                </m:sSub>
              </m:e>
            </m:nary>
          </m:den>
        </m:f>
      </m:oMath>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(8)</w:t>
      </w:r>
    </w:p>
    <w:p w14:paraId="654BC5FD" w14:textId="4DF4413C" w:rsidR="00863FBF" w:rsidRDefault="00863FBF" w:rsidP="00BE1E57">
      <w:pPr>
        <w:jc w:val="both"/>
        <w:rPr>
          <w:szCs w:val="20"/>
        </w:rPr>
      </w:pPr>
    </w:p>
    <w:p w14:paraId="2E777BC1" w14:textId="24C9D201" w:rsidR="005835CE" w:rsidRPr="00863FBF" w:rsidRDefault="005835CE" w:rsidP="00BE1E57">
      <w:pPr>
        <w:jc w:val="both"/>
        <w:rPr>
          <w:szCs w:val="20"/>
        </w:rPr>
      </w:pPr>
      <w:r>
        <w:rPr>
          <w:szCs w:val="20"/>
        </w:rPr>
        <w:t xml:space="preserve">For each stock, an even initial spatial distribution was repeatedly multiplied though this seasonal movement matrix until it stabilized on an asymptotic seasonal distribution </w:t>
      </w:r>
      <w:proofErr w:type="spellStart"/>
      <w:proofErr w:type="gramStart"/>
      <w:r w:rsidRPr="005835CE">
        <w:rPr>
          <w:i/>
          <w:szCs w:val="20"/>
        </w:rPr>
        <w:t>D</w:t>
      </w:r>
      <w:r w:rsidRPr="005835CE">
        <w:rPr>
          <w:i/>
          <w:szCs w:val="20"/>
          <w:vertAlign w:val="subscript"/>
        </w:rPr>
        <w:t>p,s</w:t>
      </w:r>
      <w:proofErr w:type="gramEnd"/>
      <w:r w:rsidRPr="005835CE">
        <w:rPr>
          <w:i/>
          <w:szCs w:val="20"/>
          <w:vertAlign w:val="subscript"/>
        </w:rPr>
        <w:t>,a</w:t>
      </w:r>
      <w:proofErr w:type="spellEnd"/>
    </w:p>
    <w:p w14:paraId="38D7FBBF" w14:textId="0E3B413A" w:rsidR="007645E9" w:rsidRDefault="007645E9" w:rsidP="00BE1E57">
      <w:pPr>
        <w:jc w:val="both"/>
      </w:pPr>
    </w:p>
    <w:p w14:paraId="124206A5" w14:textId="01964BEE" w:rsidR="005835CE" w:rsidRDefault="005835CE" w:rsidP="00BE1E57">
      <w:pPr>
        <w:jc w:val="both"/>
      </w:pPr>
      <w:r>
        <w:t xml:space="preserve">Then using the estimates of historical spawning stock biomass B from the most recent East and West Stock Synthesis stock assessments, a predicted spawning biomass by season and area </w:t>
      </w:r>
      <m:oMath>
        <m:acc>
          <m:accPr>
            <m:ctrlPr>
              <w:rPr>
                <w:rFonts w:ascii="Cambria Math" w:hAnsi="Cambria Math"/>
                <w:i/>
              </w:rPr>
            </m:ctrlPr>
          </m:accPr>
          <m:e>
            <m:r>
              <w:rPr>
                <w:rFonts w:ascii="Cambria Math" w:hAnsi="Cambria Math"/>
              </w:rPr>
              <m:t>B</m:t>
            </m:r>
          </m:e>
        </m:acc>
        <m:r>
          <w:rPr>
            <w:rFonts w:ascii="Cambria Math" w:hAnsi="Cambria Math"/>
          </w:rPr>
          <m:t xml:space="preserve"> </m:t>
        </m:r>
      </m:oMath>
      <w:r>
        <w:t xml:space="preserve">was calculated: </w:t>
      </w:r>
    </w:p>
    <w:p w14:paraId="2ACC47E1" w14:textId="4FE73A55" w:rsidR="005835CE" w:rsidRDefault="005835CE" w:rsidP="00BE1E57">
      <w:pPr>
        <w:jc w:val="both"/>
      </w:pPr>
    </w:p>
    <w:p w14:paraId="74B5A412" w14:textId="0BD3D359" w:rsidR="005835CE" w:rsidRDefault="005835CE" w:rsidP="00BE1E57">
      <w:pPr>
        <w:jc w:val="both"/>
      </w:pPr>
    </w:p>
    <w:p w14:paraId="585FBC6C" w14:textId="066C9C6B" w:rsidR="005835CE" w:rsidRDefault="00446E49" w:rsidP="003C46E4">
      <w:pPr>
        <w:ind w:firstLine="720"/>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p, s,  a,y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 s,  a</m:t>
            </m:r>
          </m:sub>
        </m:sSub>
        <m:sSub>
          <m:sSubPr>
            <m:ctrlPr>
              <w:rPr>
                <w:rFonts w:ascii="Cambria Math" w:hAnsi="Cambria Math"/>
                <w:i/>
              </w:rPr>
            </m:ctrlPr>
          </m:sSubPr>
          <m:e>
            <m:r>
              <w:rPr>
                <w:rFonts w:ascii="Cambria Math" w:hAnsi="Cambria Math"/>
              </w:rPr>
              <m:t>B</m:t>
            </m:r>
          </m:e>
          <m:sub>
            <m:r>
              <w:rPr>
                <w:rFonts w:ascii="Cambria Math" w:hAnsi="Cambria Math"/>
              </w:rPr>
              <m:t>p,y</m:t>
            </m:r>
          </m:sub>
        </m:sSub>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(9)</w:t>
      </w:r>
    </w:p>
    <w:p w14:paraId="12513972" w14:textId="13E15558" w:rsidR="005835CE" w:rsidRDefault="005835CE" w:rsidP="00BE1E57">
      <w:pPr>
        <w:jc w:val="both"/>
      </w:pPr>
    </w:p>
    <w:p w14:paraId="4693E03E" w14:textId="0298CDBF" w:rsidR="005835CE" w:rsidRDefault="005835CE" w:rsidP="00BE1E57">
      <w:pPr>
        <w:jc w:val="both"/>
      </w:pPr>
    </w:p>
    <w:p w14:paraId="3B19BCCD" w14:textId="4CC08573" w:rsidR="005835CE" w:rsidRDefault="005835CE" w:rsidP="00BE1E57">
      <w:pPr>
        <w:jc w:val="both"/>
        <w:rPr>
          <w:rFonts w:eastAsiaTheme="minorEastAsia"/>
        </w:rPr>
      </w:pPr>
      <w:r>
        <w:t xml:space="preserve">This was summed over populations to get total biomass </w:t>
      </w:r>
      <m:oMath>
        <m:acc>
          <m:accPr>
            <m:chr m:val="̅"/>
            <m:ctrlPr>
              <w:rPr>
                <w:rFonts w:ascii="Cambria Math" w:hAnsi="Cambria Math"/>
                <w:i/>
              </w:rPr>
            </m:ctrlPr>
          </m:accPr>
          <m:e>
            <m:r>
              <w:rPr>
                <w:rFonts w:ascii="Cambria Math" w:hAnsi="Cambria Math"/>
              </w:rPr>
              <m:t>B</m:t>
            </m:r>
          </m:e>
        </m:acc>
      </m:oMath>
      <w:r>
        <w:rPr>
          <w:rFonts w:eastAsiaTheme="minorEastAsia"/>
        </w:rPr>
        <w:t>:</w:t>
      </w:r>
    </w:p>
    <w:p w14:paraId="547EA10C" w14:textId="01C5D12C" w:rsidR="005835CE" w:rsidRDefault="005835CE" w:rsidP="00BE1E57">
      <w:pPr>
        <w:jc w:val="both"/>
        <w:rPr>
          <w:rFonts w:eastAsiaTheme="minorEastAsia"/>
        </w:rPr>
      </w:pPr>
    </w:p>
    <w:p w14:paraId="1CF64713" w14:textId="77777777" w:rsidR="005835CE" w:rsidRDefault="005835CE" w:rsidP="00BE1E57">
      <w:pPr>
        <w:jc w:val="both"/>
      </w:pPr>
    </w:p>
    <w:p w14:paraId="4EDE86A8" w14:textId="434B22C3" w:rsidR="005835CE" w:rsidRDefault="00446E49" w:rsidP="003C46E4">
      <w:pPr>
        <w:ind w:firstLine="720"/>
        <w:jc w:val="both"/>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s,  a,y</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p, s,  a,y</m:t>
                </m:r>
              </m:sub>
            </m:sSub>
          </m:e>
        </m:nary>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(10)</w:t>
      </w:r>
    </w:p>
    <w:p w14:paraId="6458E544" w14:textId="10D1E143" w:rsidR="005835CE" w:rsidRDefault="005835CE" w:rsidP="00BE1E57">
      <w:pPr>
        <w:jc w:val="both"/>
      </w:pPr>
    </w:p>
    <w:p w14:paraId="5EBB8168" w14:textId="5682D392" w:rsidR="005835CE" w:rsidRDefault="005835CE" w:rsidP="00BE1E57">
      <w:pPr>
        <w:jc w:val="both"/>
      </w:pPr>
    </w:p>
    <w:p w14:paraId="73FB6ADE" w14:textId="0392000A" w:rsidR="005835CE" w:rsidRDefault="005835CE" w:rsidP="00BE1E57">
      <w:pPr>
        <w:jc w:val="both"/>
      </w:pPr>
      <w:r>
        <w:t>The final index ‘Assess-Tag’ was normalized to have the same mean value as the master index ‘GLM’ (red line Figure 1):</w:t>
      </w:r>
    </w:p>
    <w:p w14:paraId="0C7310E9" w14:textId="559E2581" w:rsidR="005835CE" w:rsidRDefault="005835CE" w:rsidP="00BE1E57">
      <w:pPr>
        <w:jc w:val="both"/>
      </w:pPr>
    </w:p>
    <w:p w14:paraId="2F119E5B" w14:textId="282FC47B" w:rsidR="005835CE" w:rsidRDefault="00446E49" w:rsidP="003C46E4">
      <w:pPr>
        <w:ind w:firstLine="720"/>
        <w:jc w:val="both"/>
      </w:pPr>
      <m:oMath>
        <m:sSub>
          <m:sSubPr>
            <m:ctrlPr>
              <w:rPr>
                <w:rFonts w:ascii="Cambria Math" w:hAnsi="Cambria Math"/>
                <w:i/>
              </w:rPr>
            </m:ctrlPr>
          </m:sSubPr>
          <m:e>
            <m:sSubSup>
              <m:sSubSupPr>
                <m:ctrlPr>
                  <w:rPr>
                    <w:rFonts w:ascii="Cambria Math" w:hAnsi="Cambria Math"/>
                    <w:i/>
                  </w:rPr>
                </m:ctrlPr>
              </m:sSubSupPr>
              <m:e>
                <m:r>
                  <w:rPr>
                    <w:rFonts w:ascii="Cambria Math" w:hAnsi="Cambria Math"/>
                  </w:rPr>
                  <m:t>I</m:t>
                </m:r>
              </m:e>
              <m:sub>
                <m:r>
                  <w:rPr>
                    <w:rFonts w:ascii="Cambria Math" w:hAnsi="Cambria Math"/>
                  </w:rPr>
                  <m:t>s,a,y</m:t>
                </m:r>
              </m:sub>
              <m:sup>
                <m:r>
                  <w:rPr>
                    <w:rFonts w:ascii="Cambria Math" w:hAnsi="Cambria Math"/>
                  </w:rPr>
                  <m:t>Assess-Tag</m:t>
                </m:r>
              </m:sup>
            </m:sSubSup>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s,  a,y</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y</m:t>
                        </m:r>
                      </m:sub>
                      <m:sup/>
                      <m:e>
                        <m:sSubSup>
                          <m:sSubSupPr>
                            <m:ctrlPr>
                              <w:rPr>
                                <w:rFonts w:ascii="Cambria Math" w:hAnsi="Cambria Math"/>
                                <w:i/>
                                <w:szCs w:val="20"/>
                              </w:rPr>
                            </m:ctrlPr>
                          </m:sSubSupPr>
                          <m:e>
                            <m:r>
                              <w:rPr>
                                <w:rFonts w:ascii="Cambria Math" w:hAnsi="Cambria Math"/>
                                <w:szCs w:val="20"/>
                              </w:rPr>
                              <m:t>I</m:t>
                            </m:r>
                          </m:e>
                          <m:sub>
                            <m:r>
                              <w:rPr>
                                <w:rFonts w:ascii="Cambria Math" w:hAnsi="Cambria Math"/>
                                <w:szCs w:val="20"/>
                              </w:rPr>
                              <m:t>s,a,y</m:t>
                            </m:r>
                          </m:sub>
                          <m:sup>
                            <m:r>
                              <w:rPr>
                                <w:rFonts w:ascii="Cambria Math" w:hAnsi="Cambria Math"/>
                                <w:szCs w:val="20"/>
                              </w:rPr>
                              <m:t>GLM</m:t>
                            </m:r>
                          </m:sup>
                        </m:sSubSup>
                      </m:e>
                    </m:nary>
                  </m:e>
                </m:nary>
              </m:e>
            </m:nary>
          </m:num>
          <m:den>
            <m:nary>
              <m:naryPr>
                <m:chr m:val="∑"/>
                <m:limLoc m:val="undOvr"/>
                <m:supHide m:val="1"/>
                <m:ctrlPr>
                  <w:rPr>
                    <w:rFonts w:ascii="Cambria Math" w:hAnsi="Cambria Math"/>
                    <w:i/>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y</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s,a,y</m:t>
                            </m:r>
                          </m:sub>
                        </m:sSub>
                      </m:e>
                    </m:nary>
                  </m:e>
                </m:nary>
              </m:e>
            </m:nary>
          </m:den>
        </m:f>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(11)</w:t>
      </w:r>
    </w:p>
    <w:p w14:paraId="3B1659FA" w14:textId="37DACD1C" w:rsidR="005835CE" w:rsidRDefault="005835CE" w:rsidP="00BE1E57">
      <w:pPr>
        <w:jc w:val="both"/>
      </w:pPr>
    </w:p>
    <w:p w14:paraId="7E6995C2" w14:textId="77777777" w:rsidR="005835CE" w:rsidRDefault="005835CE" w:rsidP="00BE1E57">
      <w:pPr>
        <w:jc w:val="both"/>
      </w:pPr>
    </w:p>
    <w:p w14:paraId="4BC7B012" w14:textId="64A251B7" w:rsidR="00863FBF" w:rsidRPr="00863FBF" w:rsidRDefault="00863FBF" w:rsidP="00863FBF">
      <w:pPr>
        <w:jc w:val="both"/>
        <w:rPr>
          <w:b/>
          <w:i/>
          <w:szCs w:val="20"/>
        </w:rPr>
      </w:pPr>
      <w:r w:rsidRPr="00863FBF">
        <w:rPr>
          <w:b/>
          <w:i/>
          <w:szCs w:val="20"/>
        </w:rPr>
        <w:t>2.</w:t>
      </w:r>
      <w:r>
        <w:rPr>
          <w:b/>
          <w:i/>
          <w:szCs w:val="20"/>
        </w:rPr>
        <w:t>3</w:t>
      </w:r>
      <w:r w:rsidRPr="00863FBF">
        <w:rPr>
          <w:b/>
          <w:i/>
          <w:szCs w:val="20"/>
        </w:rPr>
        <w:t>. Master Index ‘</w:t>
      </w:r>
      <w:r>
        <w:rPr>
          <w:b/>
          <w:i/>
          <w:szCs w:val="20"/>
        </w:rPr>
        <w:t>Flat’</w:t>
      </w:r>
    </w:p>
    <w:p w14:paraId="40838875" w14:textId="269081B9" w:rsidR="00863FBF" w:rsidRDefault="00863FBF" w:rsidP="00BE1E57">
      <w:pPr>
        <w:jc w:val="both"/>
      </w:pPr>
    </w:p>
    <w:p w14:paraId="22110696" w14:textId="358681DA" w:rsidR="005835CE" w:rsidRDefault="005835CE" w:rsidP="00BE1E57">
      <w:pPr>
        <w:jc w:val="both"/>
      </w:pPr>
      <w:r>
        <w:t>The final alternative master index ‘Flat’ assumes a constant level over all seasons, areas and years equal to the mean of the ‘GLM’ master index (green dashed line, Figure 1):</w:t>
      </w:r>
    </w:p>
    <w:p w14:paraId="32FCBA37" w14:textId="77777777" w:rsidR="005835CE" w:rsidRDefault="005835CE" w:rsidP="00BE1E57">
      <w:pPr>
        <w:jc w:val="both"/>
      </w:pPr>
    </w:p>
    <w:p w14:paraId="211F9561" w14:textId="58F5A1D0" w:rsidR="005835CE" w:rsidRDefault="00446E49" w:rsidP="003C46E4">
      <w:pPr>
        <w:ind w:firstLine="720"/>
        <w:jc w:val="both"/>
      </w:pPr>
      <m:oMath>
        <m:sSubSup>
          <m:sSubSupPr>
            <m:ctrlPr>
              <w:rPr>
                <w:rFonts w:ascii="Cambria Math" w:hAnsi="Cambria Math"/>
                <w:i/>
              </w:rPr>
            </m:ctrlPr>
          </m:sSubSupPr>
          <m:e>
            <m:r>
              <w:rPr>
                <w:rFonts w:ascii="Cambria Math" w:hAnsi="Cambria Math"/>
              </w:rPr>
              <m:t>I</m:t>
            </m:r>
          </m:e>
          <m:sub>
            <m:r>
              <w:rPr>
                <w:rFonts w:ascii="Cambria Math" w:hAnsi="Cambria Math"/>
              </w:rPr>
              <m:t>s,a,y</m:t>
            </m:r>
          </m:sub>
          <m:sup>
            <m:r>
              <w:rPr>
                <w:rFonts w:ascii="Cambria Math" w:hAnsi="Cambria Math"/>
              </w:rPr>
              <m:t>Flat</m:t>
            </m:r>
          </m:sup>
        </m:sSubSup>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sub>
                  <m:sup/>
                  <m:e>
                    <m:nary>
                      <m:naryPr>
                        <m:chr m:val="∑"/>
                        <m:limLoc m:val="undOvr"/>
                        <m:supHide m:val="1"/>
                        <m:ctrlPr>
                          <w:rPr>
                            <w:rFonts w:ascii="Cambria Math" w:hAnsi="Cambria Math"/>
                            <w:i/>
                          </w:rPr>
                        </m:ctrlPr>
                      </m:naryPr>
                      <m:sub>
                        <m:r>
                          <w:rPr>
                            <w:rFonts w:ascii="Cambria Math" w:hAnsi="Cambria Math"/>
                          </w:rPr>
                          <m:t>y</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s,a,y</m:t>
                            </m:r>
                          </m:sub>
                        </m:sSub>
                      </m:e>
                    </m:nary>
                  </m:e>
                </m:nary>
              </m:e>
            </m:nary>
          </m:num>
          <m:den>
            <m:sSub>
              <m:sSubPr>
                <m:ctrlPr>
                  <w:rPr>
                    <w:rFonts w:ascii="Cambria Math" w:hAnsi="Cambria Math"/>
                    <w:i/>
                  </w:rPr>
                </m:ctrlPr>
              </m:sSubPr>
              <m:e>
                <m:r>
                  <w:rPr>
                    <w:rFonts w:ascii="Cambria Math" w:hAnsi="Cambria Math"/>
                  </w:rPr>
                  <m:t>n</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n</m:t>
                </m:r>
              </m:e>
              <m:sub>
                <m:r>
                  <w:rPr>
                    <w:rFonts w:ascii="Cambria Math" w:hAnsi="Cambria Math"/>
                  </w:rPr>
                  <m:t>y</m:t>
                </m:r>
              </m:sub>
            </m:sSub>
          </m:den>
        </m:f>
      </m:oMath>
      <w:r w:rsidR="005835CE">
        <w:rPr>
          <w:rFonts w:eastAsiaTheme="minorEastAsia"/>
        </w:rPr>
        <w:t xml:space="preserve"> </w:t>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r>
      <w:r w:rsidR="005835CE">
        <w:rPr>
          <w:rFonts w:eastAsiaTheme="minorEastAsia"/>
        </w:rPr>
        <w:tab/>
        <w:t>(12)</w:t>
      </w:r>
    </w:p>
    <w:p w14:paraId="3C30F17C" w14:textId="77777777" w:rsidR="005835CE" w:rsidRDefault="005835CE" w:rsidP="00BE1E57">
      <w:pPr>
        <w:jc w:val="both"/>
      </w:pPr>
    </w:p>
    <w:p w14:paraId="1B4C35E4" w14:textId="77777777" w:rsidR="005835CE" w:rsidRDefault="005835CE" w:rsidP="00BE1E57">
      <w:pPr>
        <w:jc w:val="both"/>
      </w:pPr>
    </w:p>
    <w:p w14:paraId="0F3D2024" w14:textId="25C80A16" w:rsidR="007645E9" w:rsidRDefault="00863FBF" w:rsidP="00BE1E57">
      <w:pPr>
        <w:jc w:val="both"/>
        <w:rPr>
          <w:b/>
          <w:i/>
        </w:rPr>
      </w:pPr>
      <w:r>
        <w:rPr>
          <w:b/>
          <w:i/>
        </w:rPr>
        <w:t>2.4</w:t>
      </w:r>
      <w:r w:rsidR="007645E9" w:rsidRPr="007645E9">
        <w:rPr>
          <w:b/>
          <w:i/>
        </w:rPr>
        <w:t xml:space="preserve">. </w:t>
      </w:r>
      <w:r w:rsidR="00F131CC">
        <w:rPr>
          <w:b/>
          <w:i/>
        </w:rPr>
        <w:t>Prior weight of the master index - p</w:t>
      </w:r>
      <w:r w:rsidR="00FA69B6">
        <w:rPr>
          <w:b/>
          <w:i/>
        </w:rPr>
        <w:t>enalty on annual deviations (CV)</w:t>
      </w:r>
    </w:p>
    <w:p w14:paraId="24004E07" w14:textId="07FC6C54" w:rsidR="00FA69B6" w:rsidRDefault="00FA69B6" w:rsidP="00BE1E57">
      <w:pPr>
        <w:jc w:val="both"/>
        <w:rPr>
          <w:b/>
          <w:i/>
        </w:rPr>
      </w:pPr>
    </w:p>
    <w:p w14:paraId="77071D5D" w14:textId="1F312B3D" w:rsidR="007645E9" w:rsidRDefault="00FA69B6" w:rsidP="00BE1E57">
      <w:pPr>
        <w:jc w:val="both"/>
      </w:pPr>
      <w:r>
        <w:t>To evaluate the impact of each index, three values for the CV for the penalty on annual deviations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Pr>
          <w:rFonts w:eastAsiaTheme="minorEastAsia"/>
        </w:rPr>
        <w:t xml:space="preserve">, </w:t>
      </w:r>
      <w:r>
        <w:t>Equation 6) were tested: 0.1, 1 and 3</w:t>
      </w:r>
      <w:r w:rsidR="00F131CC">
        <w:t xml:space="preserve"> that represent an increasing down-weighting of the master indices</w:t>
      </w:r>
      <w:r>
        <w:t xml:space="preserve">. These </w:t>
      </w:r>
      <w:r w:rsidR="00F131CC">
        <w:t xml:space="preserve">alternative scenarios </w:t>
      </w:r>
      <w:r>
        <w:t xml:space="preserve">are intended to </w:t>
      </w:r>
      <w:r w:rsidR="00F131CC">
        <w:t xml:space="preserve">reveal whether there are values for the CV where model estimates are similar independent of the master index but also whether previous versions of M3 were likely to be influenced by the choice of index. </w:t>
      </w:r>
      <w:r>
        <w:t xml:space="preserve"> For </w:t>
      </w:r>
      <w:proofErr w:type="gramStart"/>
      <w:r>
        <w:t>example</w:t>
      </w:r>
      <w:proofErr w:type="gramEnd"/>
      <w:r>
        <w:t xml:space="preserve"> the CV of 0.1 corresponds with a 95% probability interval between +/- 20%, allowing for relatively little additional variation in fishing mortality rates. At a value of 1 this is increased </w:t>
      </w:r>
      <w:r w:rsidR="00F131CC">
        <w:t>greatly</w:t>
      </w:r>
      <w:r>
        <w:t xml:space="preserve"> allowing annual </w:t>
      </w:r>
      <w:r w:rsidRPr="00FA69B6">
        <w:rPr>
          <w:i/>
        </w:rPr>
        <w:t>F</w:t>
      </w:r>
      <w:r>
        <w:t xml:space="preserve"> deviations that are between 1/3 and 3 times that inferred by the master index. </w:t>
      </w:r>
    </w:p>
    <w:p w14:paraId="50EB6DFC" w14:textId="77777777" w:rsidR="007645E9" w:rsidRDefault="007645E9" w:rsidP="00BE1E57">
      <w:pPr>
        <w:jc w:val="both"/>
      </w:pPr>
    </w:p>
    <w:p w14:paraId="62D5D1EB" w14:textId="53FFE195" w:rsidR="007645E9" w:rsidRDefault="007645E9" w:rsidP="00BE1E57">
      <w:pPr>
        <w:jc w:val="both"/>
        <w:rPr>
          <w:b/>
          <w:i/>
        </w:rPr>
      </w:pPr>
      <w:r w:rsidRPr="007645E9">
        <w:rPr>
          <w:b/>
          <w:i/>
        </w:rPr>
        <w:t>2.</w:t>
      </w:r>
      <w:r w:rsidR="00863FBF">
        <w:rPr>
          <w:b/>
          <w:i/>
        </w:rPr>
        <w:t>5</w:t>
      </w:r>
      <w:r w:rsidRPr="007645E9">
        <w:rPr>
          <w:b/>
          <w:i/>
        </w:rPr>
        <w:t>. Quantities of interest</w:t>
      </w:r>
    </w:p>
    <w:p w14:paraId="1A7DE19B" w14:textId="023B9052" w:rsidR="00FA69B6" w:rsidRDefault="00FA69B6" w:rsidP="00BE1E57">
      <w:pPr>
        <w:jc w:val="both"/>
        <w:rPr>
          <w:b/>
          <w:i/>
        </w:rPr>
      </w:pPr>
    </w:p>
    <w:p w14:paraId="421C5522" w14:textId="77892EE0" w:rsidR="00FA69B6" w:rsidRDefault="00FA69B6" w:rsidP="00BE1E57">
      <w:pPr>
        <w:jc w:val="both"/>
      </w:pPr>
      <w:r>
        <w:t xml:space="preserve">The impact of the master index and CV penalty were evaluated for spawning stock biomass and recruitment estimates for the West and East stocks. The impact on stock mixing was also investigated, phrased in terms of the percentage of Western area biomass that contributed by the Eastern Stock and the percentage of Eastern area biomass that is contributed by the Western stock. </w:t>
      </w:r>
    </w:p>
    <w:p w14:paraId="64D83B10" w14:textId="3DA40FCB" w:rsidR="00FA69B6" w:rsidRDefault="00FA69B6" w:rsidP="00BE1E57">
      <w:pPr>
        <w:jc w:val="both"/>
      </w:pPr>
    </w:p>
    <w:p w14:paraId="59FEB0A4" w14:textId="5E9E75F9" w:rsidR="00FA69B6" w:rsidRDefault="00FA69B6" w:rsidP="00BE1E57">
      <w:pPr>
        <w:jc w:val="both"/>
      </w:pPr>
      <w:r>
        <w:t xml:space="preserve">Running times were also recorded to establish whether the choice of CV and master index impacted the computational demands of the estimation. </w:t>
      </w:r>
    </w:p>
    <w:p w14:paraId="0020C29A" w14:textId="1D89F923" w:rsidR="00523C4A" w:rsidRDefault="00523C4A" w:rsidP="00BE1E57">
      <w:pPr>
        <w:jc w:val="both"/>
      </w:pPr>
    </w:p>
    <w:p w14:paraId="51276C6F" w14:textId="50916C29" w:rsidR="00523C4A" w:rsidRPr="006B5C8A" w:rsidRDefault="00523C4A" w:rsidP="00BE1E57">
      <w:pPr>
        <w:jc w:val="both"/>
        <w:rPr>
          <w:b/>
          <w:i/>
        </w:rPr>
      </w:pPr>
      <w:r w:rsidRPr="006B5C8A">
        <w:rPr>
          <w:b/>
          <w:i/>
        </w:rPr>
        <w:t>2.6. Operating model</w:t>
      </w:r>
    </w:p>
    <w:p w14:paraId="33B83F42" w14:textId="2D573F65" w:rsidR="007645E9" w:rsidRDefault="007645E9" w:rsidP="00BE1E57">
      <w:pPr>
        <w:jc w:val="both"/>
      </w:pPr>
    </w:p>
    <w:p w14:paraId="0727D651" w14:textId="088716D3" w:rsidR="00523C4A" w:rsidRDefault="00523C4A" w:rsidP="00BE1E57">
      <w:pPr>
        <w:jc w:val="both"/>
      </w:pPr>
      <w:r>
        <w:t>Sensitivity tests were carried out for</w:t>
      </w:r>
      <w:r w:rsidR="006B5C8A">
        <w:t xml:space="preserve"> operating model 1 of the reference set</w:t>
      </w:r>
      <w:r>
        <w:t xml:space="preserve"> </w:t>
      </w:r>
      <w:r w:rsidR="006B5C8A">
        <w:t>(</w:t>
      </w:r>
      <w:r>
        <w:t>the reference case</w:t>
      </w:r>
      <w:r w:rsidR="006B5C8A">
        <w:t>)</w:t>
      </w:r>
      <w:r>
        <w:t xml:space="preserve"> that include two-phase recruitment (level 1), a high natural mortality rate / young age at maturity (level A) and best estimates of stock mixing (level I)</w:t>
      </w:r>
      <w:r w:rsidR="006B5C8A">
        <w:t>.</w:t>
      </w:r>
    </w:p>
    <w:p w14:paraId="1EA176C8" w14:textId="14051D87" w:rsidR="007645E9" w:rsidRDefault="007645E9" w:rsidP="00BE1E57">
      <w:pPr>
        <w:jc w:val="both"/>
      </w:pPr>
    </w:p>
    <w:p w14:paraId="234A7CB1" w14:textId="675B203E" w:rsidR="00C14181" w:rsidRDefault="00C14181" w:rsidP="00BE1E57">
      <w:pPr>
        <w:jc w:val="both"/>
      </w:pPr>
      <w:r>
        <w:rPr>
          <w:noProof/>
          <w:lang w:val="en-US"/>
        </w:rPr>
        <w:lastRenderedPageBreak/>
        <w:drawing>
          <wp:inline distT="0" distB="0" distL="0" distR="0" wp14:anchorId="3C63F884" wp14:editId="00D5D8F1">
            <wp:extent cx="5732145" cy="67437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6743700"/>
                    </a:xfrm>
                    <a:prstGeom prst="rect">
                      <a:avLst/>
                    </a:prstGeom>
                  </pic:spPr>
                </pic:pic>
              </a:graphicData>
            </a:graphic>
          </wp:inline>
        </w:drawing>
      </w:r>
    </w:p>
    <w:p w14:paraId="2DF0DE4A" w14:textId="1C3D6BE6" w:rsidR="00C14181" w:rsidRDefault="00C14181" w:rsidP="00BE1E57">
      <w:pPr>
        <w:jc w:val="both"/>
      </w:pPr>
      <w:r w:rsidRPr="00C14181">
        <w:rPr>
          <w:b/>
        </w:rPr>
        <w:t>Figure 1.</w:t>
      </w:r>
      <w:r>
        <w:t xml:space="preserve"> The seasonal and spatial distribution of relative abundance </w:t>
      </w:r>
      <w:r w:rsidR="00784AC7">
        <w:t>inferred</w:t>
      </w:r>
      <w:r>
        <w:t xml:space="preserve"> by the three master indices</w:t>
      </w:r>
      <w:r w:rsidR="00DD52AC">
        <w:t xml:space="preserve"> derived by (1, ‘GLM’) GLM modelling of Task II catch per unit effort data and operating model relative abundance indices, (2, ‘Assess-Tag’) the most recent spawning stock biomass estimates of the stock synthesis assessments coupled with asymptotic seasonal distribution predicted by electronic tagging transitions and (3, ‘Flat’) a constant flat trend that is the same magnitude among all areas and seasons. </w:t>
      </w:r>
      <w:r>
        <w:t xml:space="preserve"> </w:t>
      </w:r>
    </w:p>
    <w:p w14:paraId="6A6F16BA" w14:textId="11CB88BB" w:rsidR="00C14181" w:rsidRDefault="00C14181" w:rsidP="00BE1E57">
      <w:pPr>
        <w:jc w:val="both"/>
      </w:pPr>
    </w:p>
    <w:p w14:paraId="48492DC6" w14:textId="77777777" w:rsidR="00C14181" w:rsidRPr="001F6BC1" w:rsidRDefault="00C14181" w:rsidP="00BE1E57">
      <w:pPr>
        <w:jc w:val="both"/>
      </w:pPr>
    </w:p>
    <w:p w14:paraId="6620F711" w14:textId="09007CE1" w:rsidR="001F6BC1" w:rsidRDefault="001F6BC1" w:rsidP="00BE1E57">
      <w:pPr>
        <w:pStyle w:val="Heading1"/>
        <w:jc w:val="both"/>
      </w:pPr>
      <w:r>
        <w:t>Results</w:t>
      </w:r>
    </w:p>
    <w:p w14:paraId="1EAD598E" w14:textId="1F4BCA2D" w:rsidR="00E54C61" w:rsidRDefault="00E54C61" w:rsidP="005874D9"/>
    <w:p w14:paraId="3997E37C" w14:textId="16FF218D" w:rsidR="007645E9" w:rsidRDefault="00FA69B6" w:rsidP="005874D9">
      <w:r>
        <w:t xml:space="preserve">When using only the ‘GLM’ master index, the varying CV levels revealed that the master index was likely </w:t>
      </w:r>
      <w:r w:rsidR="00C14181">
        <w:t xml:space="preserve">to have been </w:t>
      </w:r>
      <w:r>
        <w:t xml:space="preserve">highly influential in determining model predictions of both absolute biomass and stock mixing in previous version of the M3 model that relied on equation 3 (only seasonal-area deviations included). This is reflected by very large discrepancies in the </w:t>
      </w:r>
      <w:r w:rsidR="00C14181">
        <w:t xml:space="preserve">absolute biomass of the eastern stock and mixing in Figure 2. At a CV value at 1 or 3, where the influence of the master index is greatly reduced, estimates were very similar. </w:t>
      </w:r>
    </w:p>
    <w:p w14:paraId="0966EF16" w14:textId="7CDE6257" w:rsidR="00C14181" w:rsidRDefault="00C14181" w:rsidP="005874D9"/>
    <w:p w14:paraId="7A6F9917" w14:textId="0A612884" w:rsidR="00C14181" w:rsidRDefault="00C14181" w:rsidP="005874D9">
      <w:r>
        <w:lastRenderedPageBreak/>
        <w:t>This finding was further corroborated for spawning stock biomass (Figure 3), recruitment (Figure 4) and stock mixing (Figure 5) which show large differences among estimates of the quantities when CV</w:t>
      </w:r>
      <w:r w:rsidR="00547B47">
        <w:t xml:space="preserve"> </w:t>
      </w:r>
      <w:r>
        <w:t>=</w:t>
      </w:r>
      <w:r w:rsidR="00547B47">
        <w:t xml:space="preserve"> </w:t>
      </w:r>
      <w:r>
        <w:t xml:space="preserve">0.1 that subsequently narrow and appear to converge for CVs of 1 and 3. </w:t>
      </w:r>
    </w:p>
    <w:p w14:paraId="4FF84B00" w14:textId="4D880ED4" w:rsidR="00C14181" w:rsidRDefault="00C14181" w:rsidP="005874D9"/>
    <w:p w14:paraId="77ADB66D" w14:textId="217BA296" w:rsidR="00C14181" w:rsidRDefault="00784AC7" w:rsidP="005874D9">
      <w:r>
        <w:t xml:space="preserve">Mixing estimates were apparently much less stable than spawning stock biomass and recruitment, not converging as well with higher CV values. </w:t>
      </w:r>
      <w:r w:rsidR="00C14181">
        <w:t>The only quantity not showing apparent convergence among master indices at the high CV levels was stock mixing of the West into the Eastern area (the bottom right panel of Figure 5)</w:t>
      </w:r>
      <w:r>
        <w:t xml:space="preserve"> and</w:t>
      </w:r>
      <w:r w:rsidR="00C14181">
        <w:t xml:space="preserve"> show</w:t>
      </w:r>
      <w:r>
        <w:t>s</w:t>
      </w:r>
      <w:r w:rsidR="00C14181">
        <w:t xml:space="preserve"> some </w:t>
      </w:r>
      <w:r>
        <w:t xml:space="preserve">variability among estimates of very </w:t>
      </w:r>
      <w:r w:rsidR="00C14181">
        <w:t>low percentage contribution of the western stock biomass to eastern area biomass.</w:t>
      </w:r>
    </w:p>
    <w:p w14:paraId="71776788" w14:textId="77777777" w:rsidR="00C14181" w:rsidRPr="00E54C61" w:rsidRDefault="00C14181" w:rsidP="005874D9"/>
    <w:p w14:paraId="35648310" w14:textId="77777777" w:rsidR="004E72ED" w:rsidRDefault="004E72ED" w:rsidP="00BE1E57">
      <w:pPr>
        <w:jc w:val="both"/>
      </w:pPr>
    </w:p>
    <w:p w14:paraId="46AB7A0A" w14:textId="10EB5D7A" w:rsidR="0088057B" w:rsidRDefault="0088057B" w:rsidP="00BE1E57">
      <w:pPr>
        <w:jc w:val="both"/>
      </w:pPr>
    </w:p>
    <w:p w14:paraId="306DBACB" w14:textId="69878086" w:rsidR="0088057B" w:rsidRDefault="00C14181" w:rsidP="00BE1E57">
      <w:pPr>
        <w:jc w:val="both"/>
      </w:pPr>
      <w:r>
        <w:rPr>
          <w:noProof/>
          <w:lang w:val="en-US"/>
        </w:rPr>
        <w:drawing>
          <wp:inline distT="0" distB="0" distL="0" distR="0" wp14:anchorId="0E5A8753" wp14:editId="3EC41AD3">
            <wp:extent cx="4087091" cy="490432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ld metho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4526" cy="4925250"/>
                    </a:xfrm>
                    <a:prstGeom prst="rect">
                      <a:avLst/>
                    </a:prstGeom>
                  </pic:spPr>
                </pic:pic>
              </a:graphicData>
            </a:graphic>
          </wp:inline>
        </w:drawing>
      </w:r>
    </w:p>
    <w:p w14:paraId="2BE6F6A4" w14:textId="18E4BB16" w:rsidR="0088057B" w:rsidRDefault="0088057B" w:rsidP="00BE1E57">
      <w:pPr>
        <w:jc w:val="both"/>
      </w:pPr>
      <w:bookmarkStart w:id="1" w:name="OLE_LINK3"/>
      <w:r w:rsidRPr="005874D9">
        <w:rPr>
          <w:b/>
        </w:rPr>
        <w:t xml:space="preserve">Figure </w:t>
      </w:r>
      <w:r w:rsidR="00C14181">
        <w:rPr>
          <w:b/>
        </w:rPr>
        <w:t>2</w:t>
      </w:r>
      <w:r>
        <w:t>. The</w:t>
      </w:r>
      <w:r w:rsidR="00C14181">
        <w:t xml:space="preserve"> impact of varying </w:t>
      </w:r>
      <w:proofErr w:type="spellStart"/>
      <w:r w:rsidR="00B77FE0">
        <w:t>downweighting</w:t>
      </w:r>
      <w:proofErr w:type="spellEnd"/>
      <w:r w:rsidR="00C14181">
        <w:t xml:space="preserve"> of the master index controlled by the CV in annual deviations (log normal penalty on annual recruitment, </w:t>
      </w:r>
      <m:oMath>
        <m:sSub>
          <m:sSubPr>
            <m:ctrlPr>
              <w:rPr>
                <w:rFonts w:ascii="Cambria Math" w:hAnsi="Cambria Math"/>
                <w:i/>
              </w:rPr>
            </m:ctrlPr>
          </m:sSubPr>
          <m:e>
            <m:r>
              <w:rPr>
                <w:rFonts w:ascii="Cambria Math" w:hAnsi="Cambria Math"/>
              </w:rPr>
              <m:t>σ</m:t>
            </m:r>
          </m:e>
          <m:sub>
            <m:r>
              <w:rPr>
                <w:rFonts w:ascii="Cambria Math" w:hAnsi="Cambria Math"/>
              </w:rPr>
              <m:t>δ</m:t>
            </m:r>
          </m:sub>
        </m:sSub>
      </m:oMath>
      <w:r w:rsidR="00C14181">
        <w:rPr>
          <w:rFonts w:eastAsiaTheme="minorEastAsia"/>
        </w:rPr>
        <w:t xml:space="preserve"> of Equation 3</w:t>
      </w:r>
      <w:r w:rsidR="00C14181">
        <w:t xml:space="preserve">) for M3 model fits using the ‘GLM’ based master index. </w:t>
      </w:r>
    </w:p>
    <w:p w14:paraId="1AAE7323" w14:textId="567E6407" w:rsidR="00E57929" w:rsidRDefault="00E57929" w:rsidP="00BE1E57">
      <w:pPr>
        <w:jc w:val="both"/>
      </w:pPr>
    </w:p>
    <w:p w14:paraId="49D03B6E" w14:textId="234C8AFE" w:rsidR="00E57929" w:rsidRDefault="008A49E4" w:rsidP="00BE1E57">
      <w:pPr>
        <w:jc w:val="both"/>
      </w:pPr>
      <w:r>
        <w:rPr>
          <w:noProof/>
          <w:lang w:val="en-US"/>
        </w:rPr>
        <w:lastRenderedPageBreak/>
        <w:drawing>
          <wp:inline distT="0" distB="0" distL="0" distR="0" wp14:anchorId="4A7CF1E3" wp14:editId="70513C77">
            <wp:extent cx="3570790" cy="428479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5725" cy="4302712"/>
                    </a:xfrm>
                    <a:prstGeom prst="rect">
                      <a:avLst/>
                    </a:prstGeom>
                  </pic:spPr>
                </pic:pic>
              </a:graphicData>
            </a:graphic>
          </wp:inline>
        </w:drawing>
      </w:r>
    </w:p>
    <w:bookmarkEnd w:id="1"/>
    <w:p w14:paraId="6808DC4D" w14:textId="65A84B90" w:rsidR="0088057B" w:rsidRDefault="008A49E4" w:rsidP="00BE1E57">
      <w:pPr>
        <w:jc w:val="both"/>
      </w:pPr>
      <w:r>
        <w:rPr>
          <w:b/>
        </w:rPr>
        <w:t xml:space="preserve">Figure </w:t>
      </w:r>
      <w:r w:rsidR="00C14181">
        <w:rPr>
          <w:b/>
        </w:rPr>
        <w:t>3</w:t>
      </w:r>
      <w:r w:rsidR="00D41A1B">
        <w:t xml:space="preserve">. </w:t>
      </w:r>
      <w:r w:rsidR="00C14181">
        <w:t xml:space="preserve">The sensitivity of maximum posterior density estimates of spawning stock biomass to varying master index and penalty on annual deviations, expressed as a CV. </w:t>
      </w:r>
    </w:p>
    <w:p w14:paraId="4453273F" w14:textId="7EF7AFA9" w:rsidR="00E57929" w:rsidRDefault="00E57929" w:rsidP="00BE1E57">
      <w:pPr>
        <w:jc w:val="both"/>
      </w:pPr>
    </w:p>
    <w:p w14:paraId="7F1AD4FC" w14:textId="3DC7BB03" w:rsidR="00E57929" w:rsidRDefault="008A49E4" w:rsidP="00BE1E57">
      <w:pPr>
        <w:jc w:val="both"/>
      </w:pPr>
      <w:r>
        <w:rPr>
          <w:noProof/>
          <w:lang w:val="en-US"/>
        </w:rPr>
        <w:drawing>
          <wp:inline distT="0" distB="0" distL="0" distR="0" wp14:anchorId="325E4A51" wp14:editId="5BD88BBD">
            <wp:extent cx="3582365" cy="429867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1300" cy="4309400"/>
                    </a:xfrm>
                    <a:prstGeom prst="rect">
                      <a:avLst/>
                    </a:prstGeom>
                  </pic:spPr>
                </pic:pic>
              </a:graphicData>
            </a:graphic>
          </wp:inline>
        </w:drawing>
      </w:r>
    </w:p>
    <w:p w14:paraId="5A30D788" w14:textId="3AD28F99" w:rsidR="0088057B" w:rsidRDefault="0088057B" w:rsidP="00BE1E57">
      <w:pPr>
        <w:jc w:val="both"/>
      </w:pPr>
      <w:r w:rsidRPr="005874D9">
        <w:rPr>
          <w:b/>
        </w:rPr>
        <w:t xml:space="preserve">Figure </w:t>
      </w:r>
      <w:r w:rsidR="00C14181">
        <w:rPr>
          <w:b/>
        </w:rPr>
        <w:t>4</w:t>
      </w:r>
      <w:r>
        <w:t xml:space="preserve">. </w:t>
      </w:r>
      <w:r w:rsidR="00C14181">
        <w:t xml:space="preserve">As Figure 3 but for recruitment estimates. </w:t>
      </w:r>
      <w:r w:rsidR="00425575">
        <w:t xml:space="preserve"> </w:t>
      </w:r>
    </w:p>
    <w:p w14:paraId="54A097F1" w14:textId="7163BCEB" w:rsidR="007E43C0" w:rsidRDefault="007E43C0" w:rsidP="00BE1E57">
      <w:pPr>
        <w:jc w:val="both"/>
      </w:pPr>
    </w:p>
    <w:p w14:paraId="1A5385D3" w14:textId="5CE8C4CA" w:rsidR="003254CE" w:rsidRDefault="003254CE" w:rsidP="00BE1E57">
      <w:pPr>
        <w:jc w:val="both"/>
      </w:pPr>
    </w:p>
    <w:p w14:paraId="68D27131" w14:textId="1F3A62EB" w:rsidR="008A49E4" w:rsidRDefault="008A49E4" w:rsidP="00BE1E57">
      <w:pPr>
        <w:jc w:val="both"/>
      </w:pPr>
      <w:r>
        <w:rPr>
          <w:noProof/>
          <w:lang w:val="en-US"/>
        </w:rPr>
        <w:drawing>
          <wp:inline distT="0" distB="0" distL="0" distR="0" wp14:anchorId="1DF19E06" wp14:editId="32032AC1">
            <wp:extent cx="3848725" cy="4618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4350" cy="4625049"/>
                    </a:xfrm>
                    <a:prstGeom prst="rect">
                      <a:avLst/>
                    </a:prstGeom>
                  </pic:spPr>
                </pic:pic>
              </a:graphicData>
            </a:graphic>
          </wp:inline>
        </w:drawing>
      </w:r>
    </w:p>
    <w:p w14:paraId="400D3909" w14:textId="37DBBC06" w:rsidR="008A49E4" w:rsidRDefault="008A49E4" w:rsidP="008A49E4">
      <w:pPr>
        <w:jc w:val="both"/>
      </w:pPr>
      <w:r w:rsidRPr="005874D9">
        <w:rPr>
          <w:b/>
        </w:rPr>
        <w:t xml:space="preserve">Figure </w:t>
      </w:r>
      <w:r w:rsidR="00C14181">
        <w:rPr>
          <w:b/>
        </w:rPr>
        <w:t>5</w:t>
      </w:r>
      <w:r>
        <w:t xml:space="preserve">. </w:t>
      </w:r>
      <w:r w:rsidR="00C14181">
        <w:t xml:space="preserve">As Figure 3 but for estimates of stock mixing. </w:t>
      </w:r>
    </w:p>
    <w:p w14:paraId="0EC3C34F" w14:textId="47B1D85A" w:rsidR="008A49E4" w:rsidRDefault="008A49E4" w:rsidP="00BE1E57">
      <w:pPr>
        <w:jc w:val="both"/>
      </w:pPr>
    </w:p>
    <w:p w14:paraId="70EB56EB" w14:textId="77777777" w:rsidR="00FA69B6" w:rsidRDefault="00FA69B6" w:rsidP="00FA69B6">
      <w:pPr>
        <w:jc w:val="both"/>
      </w:pPr>
    </w:p>
    <w:p w14:paraId="0F7275BA" w14:textId="54565EE8" w:rsidR="00FA69B6" w:rsidRDefault="00FA69B6" w:rsidP="00FA69B6">
      <w:pPr>
        <w:jc w:val="both"/>
      </w:pPr>
      <w:r w:rsidRPr="005874D9">
        <w:rPr>
          <w:b/>
        </w:rPr>
        <w:t xml:space="preserve">Table </w:t>
      </w:r>
      <w:r>
        <w:rPr>
          <w:b/>
        </w:rPr>
        <w:t>3</w:t>
      </w:r>
      <w:r>
        <w:t xml:space="preserve">. </w:t>
      </w:r>
      <w:r w:rsidR="00523C4A">
        <w:t>Running times to maximum posterior density estimates (no hessian, no MCMC) of the current set of indices/CVs in absolute terms and also the increase over previous</w:t>
      </w:r>
      <w:r w:rsidR="00547B47">
        <w:t xml:space="preserve"> M3</w:t>
      </w:r>
      <w:r w:rsidR="00523C4A">
        <w:t xml:space="preserve"> model formulations</w:t>
      </w:r>
      <w:r w:rsidR="003C46E4">
        <w:t xml:space="preserve"> (M3 version</w:t>
      </w:r>
      <w:r w:rsidR="00547B47">
        <w:t>s</w:t>
      </w:r>
      <w:r w:rsidR="003C46E4">
        <w:t xml:space="preserve"> 4 and </w:t>
      </w:r>
      <w:r w:rsidR="00547B47">
        <w:t>earlier</w:t>
      </w:r>
      <w:r w:rsidR="003C46E4">
        <w:t>)</w:t>
      </w:r>
      <w:r w:rsidR="00523C4A">
        <w:t xml:space="preserve"> that did not estimate the annual deviations (e.g. </w:t>
      </w:r>
      <w:r w:rsidR="003C46E4">
        <w:t xml:space="preserve">versions that used </w:t>
      </w:r>
      <w:r w:rsidR="00523C4A">
        <w:t>Equation 3</w:t>
      </w:r>
      <w:r w:rsidR="003C46E4">
        <w:t xml:space="preserve"> rather than Equation 5</w:t>
      </w:r>
      <w:r w:rsidR="00523C4A">
        <w:t xml:space="preserve">). </w:t>
      </w:r>
    </w:p>
    <w:p w14:paraId="504C69C4" w14:textId="77777777" w:rsidR="00FA69B6" w:rsidRDefault="00FA69B6" w:rsidP="00FA69B6">
      <w:pPr>
        <w:jc w:val="both"/>
      </w:pPr>
      <w:r w:rsidRPr="008A49E4">
        <w:rPr>
          <w:noProof/>
        </w:rPr>
        <w:drawing>
          <wp:inline distT="0" distB="0" distL="0" distR="0" wp14:anchorId="1E826FBA" wp14:editId="2ACFEB10">
            <wp:extent cx="2812473" cy="196077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8575" cy="1972002"/>
                    </a:xfrm>
                    <a:prstGeom prst="rect">
                      <a:avLst/>
                    </a:prstGeom>
                    <a:noFill/>
                    <a:ln>
                      <a:noFill/>
                    </a:ln>
                  </pic:spPr>
                </pic:pic>
              </a:graphicData>
            </a:graphic>
          </wp:inline>
        </w:drawing>
      </w:r>
    </w:p>
    <w:p w14:paraId="7CFE016F" w14:textId="53ADF819" w:rsidR="00F04B1E" w:rsidRDefault="00102D41" w:rsidP="005874D9">
      <w:pPr>
        <w:tabs>
          <w:tab w:val="left" w:pos="2032"/>
        </w:tabs>
        <w:jc w:val="both"/>
      </w:pPr>
      <w:r>
        <w:tab/>
      </w:r>
    </w:p>
    <w:p w14:paraId="24038C4E" w14:textId="28E7808C" w:rsidR="00E44BD6" w:rsidRDefault="00E44BD6" w:rsidP="00A8201D"/>
    <w:p w14:paraId="2D0DE2FB" w14:textId="20B561B7" w:rsidR="002F5DBD" w:rsidRDefault="00E0013C" w:rsidP="002F5DBD">
      <w:pPr>
        <w:pStyle w:val="Heading1"/>
      </w:pPr>
      <w:r>
        <w:t>Discussion</w:t>
      </w:r>
    </w:p>
    <w:p w14:paraId="363E2CE6" w14:textId="77777777" w:rsidR="00F04B1E" w:rsidRDefault="00F04B1E" w:rsidP="00F04B1E">
      <w:pPr>
        <w:jc w:val="both"/>
      </w:pPr>
    </w:p>
    <w:p w14:paraId="60E9CB53" w14:textId="763E1924" w:rsidR="006B5C8A" w:rsidRDefault="00523C4A" w:rsidP="00F04B1E">
      <w:pPr>
        <w:jc w:val="both"/>
      </w:pPr>
      <w:r>
        <w:t xml:space="preserve">The results indicate that the master index probably did influence the estimates of previous versions of the M3 model that did not include the estimation of annual deviations (models based on Equation 3). </w:t>
      </w:r>
      <w:r w:rsidR="003C46E4">
        <w:t xml:space="preserve">The master index derived by GLM analysis is similar to the previous index and provided substantively different results in models with a lower CV and a greater prior weight on the trends of the master index. </w:t>
      </w:r>
    </w:p>
    <w:p w14:paraId="7F00A5D3" w14:textId="77777777" w:rsidR="006B5C8A" w:rsidRDefault="006B5C8A" w:rsidP="00F04B1E">
      <w:pPr>
        <w:jc w:val="both"/>
      </w:pPr>
    </w:p>
    <w:p w14:paraId="557C9D55" w14:textId="4F19342E" w:rsidR="00523C4A" w:rsidRDefault="00523C4A" w:rsidP="00F04B1E">
      <w:pPr>
        <w:jc w:val="both"/>
      </w:pPr>
      <w:r>
        <w:lastRenderedPageBreak/>
        <w:t>Testing the new model that includes these deviations (based on Equation 5) with varying master indices and prior strengths (CVs) demonstrated that the posterior estimates can be considered largely invariant to the master index given a prior CV of 3</w:t>
      </w:r>
      <w:r w:rsidR="006B5C8A">
        <w:t xml:space="preserve"> (in most cases a value over 1 appear sufficient)</w:t>
      </w:r>
      <w:r>
        <w:t>. The choice of master index and CV had little impact on model running time. However</w:t>
      </w:r>
      <w:r w:rsidR="006B5C8A">
        <w:t>,</w:t>
      </w:r>
      <w:r>
        <w:t xml:space="preserve"> it is not clear yet </w:t>
      </w:r>
      <w:r w:rsidR="006B5C8A">
        <w:t xml:space="preserve">whether </w:t>
      </w:r>
      <w:r>
        <w:t xml:space="preserve">the various master indices affect model stability and convergence across the full range of operating models. </w:t>
      </w:r>
    </w:p>
    <w:p w14:paraId="14F3A82C" w14:textId="027D883F" w:rsidR="006B5C8A" w:rsidRDefault="006B5C8A" w:rsidP="00F04B1E">
      <w:pPr>
        <w:jc w:val="both"/>
      </w:pPr>
    </w:p>
    <w:p w14:paraId="24E083AC" w14:textId="6B9D34D6" w:rsidR="006B5C8A" w:rsidRDefault="006B5C8A" w:rsidP="00F04B1E">
      <w:pPr>
        <w:jc w:val="both"/>
      </w:pPr>
      <w:r>
        <w:t xml:space="preserve">Of the model estimates examined, stock mixing was estimated the least consistently well, particularly for the Western stock as a fraction of the eastern biomass. This may point to a general lack of information and local minima for parameters that determine these estimates. </w:t>
      </w:r>
    </w:p>
    <w:p w14:paraId="74C1F3A3" w14:textId="77777777" w:rsidR="00523C4A" w:rsidRDefault="00523C4A" w:rsidP="00F04B1E">
      <w:pPr>
        <w:jc w:val="both"/>
      </w:pPr>
    </w:p>
    <w:p w14:paraId="19E2D67A" w14:textId="4C5C0CDF" w:rsidR="008B5FBF" w:rsidRDefault="006B5C8A" w:rsidP="00F04B1E">
      <w:pPr>
        <w:jc w:val="both"/>
      </w:pPr>
      <w:r>
        <w:t>It was interesting that ‘GLM’ master index approach and the ‘Assess-Tag’ approach often predicted qualitatively similar magnitudes in the seasonal-spatial distribution (</w:t>
      </w:r>
      <w:r w:rsidR="00863FBF">
        <w:t>the red and black lines Figure 1 are sometimes reasonably close</w:t>
      </w:r>
      <w:r>
        <w:t xml:space="preserve"> in mag</w:t>
      </w:r>
      <w:r w:rsidR="003C46E4">
        <w:t>n</w:t>
      </w:r>
      <w:r>
        <w:t xml:space="preserve">itude). It would be of further interest to see how close these priors are to M3 model estimates that use all of the spatial data. An extension to these approaches could combine all these data in addition to the stock of origin data to define an estimate of seasonal-spatial distribution that could be used in simplified stock mixing models (that are not reliant on the fitting of something as complex as M3).  </w:t>
      </w:r>
    </w:p>
    <w:p w14:paraId="02669458" w14:textId="34559277" w:rsidR="00547B47" w:rsidRDefault="00547B47" w:rsidP="00F04B1E">
      <w:pPr>
        <w:jc w:val="both"/>
      </w:pPr>
    </w:p>
    <w:p w14:paraId="51E0B64C" w14:textId="6A4B4AC5" w:rsidR="00547B47" w:rsidRDefault="00547B47" w:rsidP="00F04B1E">
      <w:pPr>
        <w:jc w:val="both"/>
      </w:pPr>
      <w:r>
        <w:t xml:space="preserve">An additional simplification to the model that may be worth investigating if model convergence becomes a problem and greater parsimony is required, could be to estimate a single parameter per season and area that controls a linear temporal trend (a linear mismatch between master index and model predicted abundance) that would reduce the additional 1428 parameters of Equation 5 to an additional 28 (7 areas, 4 seasons). </w:t>
      </w:r>
    </w:p>
    <w:p w14:paraId="6FB97D91" w14:textId="3CC7E9D4" w:rsidR="00030EAE" w:rsidRDefault="00030EAE" w:rsidP="00E74FE2">
      <w:pPr>
        <w:jc w:val="both"/>
      </w:pPr>
    </w:p>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57DFFCD5" w:rsidR="000E1796" w:rsidRDefault="003C46E4" w:rsidP="006D2915">
      <w:pPr>
        <w:jc w:val="both"/>
      </w:pPr>
      <w:r>
        <w:t>I</w:t>
      </w:r>
      <w:r w:rsidR="00205427">
        <w:t xml:space="preserve"> thank </w:t>
      </w:r>
      <w:r w:rsidR="008B1675">
        <w:t>the ICCAT bluefin technical team for their continued feedback on operating model inputs, assumptions and estimates.</w:t>
      </w:r>
      <w:r w:rsidR="00C61397">
        <w:t xml:space="preserve"> </w:t>
      </w:r>
      <w:r w:rsidR="000E1796">
        <w:t>T</w:t>
      </w:r>
      <w:r w:rsidR="000E1796"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view</w:t>
      </w:r>
      <w:r w:rsidR="00A22EC2">
        <w:t>points</w:t>
      </w:r>
      <w:r w:rsidR="000E1796" w:rsidRPr="000E1796">
        <w:t xml:space="preserve">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16F2198F" w14:textId="5B2DD754" w:rsidR="001072F1" w:rsidRDefault="00690461" w:rsidP="001072F1">
      <w:pPr>
        <w:spacing w:afterLines="40" w:after="96"/>
        <w:ind w:left="425" w:right="-11" w:hanging="425"/>
        <w:jc w:val="both"/>
        <w:rPr>
          <w:lang w:val="en-US"/>
        </w:rPr>
      </w:pPr>
      <w:r>
        <w:rPr>
          <w:lang w:val="en-US"/>
        </w:rPr>
        <w:t>Anon. 2017.</w:t>
      </w:r>
      <w:r w:rsidR="00D01827">
        <w:rPr>
          <w:lang w:val="en-US"/>
        </w:rPr>
        <w:t xml:space="preserve"> Report of the 2017 ICCAT bluefin stock assessment meeting. International Commission for the Conservation of Atlantic Tunas. Available online at: </w:t>
      </w:r>
      <w:hyperlink r:id="rId14" w:history="1">
        <w:r w:rsidR="00697289" w:rsidRPr="008C714A">
          <w:rPr>
            <w:rStyle w:val="Hyperlink"/>
            <w:lang w:val="en-US"/>
          </w:rPr>
          <w:t>https://www.iccat.int/Documents/SCRS/DetRep/</w:t>
        </w:r>
      </w:hyperlink>
      <w:r w:rsidR="00697289">
        <w:rPr>
          <w:lang w:val="en-US"/>
        </w:rPr>
        <w:t xml:space="preserve"> </w:t>
      </w:r>
      <w:r w:rsidR="00D01827" w:rsidRPr="00D01827">
        <w:rPr>
          <w:lang w:val="en-US"/>
        </w:rPr>
        <w:t xml:space="preserve">BFT_ASS_ENG.pdf </w:t>
      </w:r>
      <w:r w:rsidR="00D01827">
        <w:rPr>
          <w:lang w:val="en-US"/>
        </w:rPr>
        <w:t>[accessed October 2018]</w:t>
      </w:r>
    </w:p>
    <w:p w14:paraId="15402ABD" w14:textId="77777777" w:rsidR="003C46E4" w:rsidRDefault="003C46E4" w:rsidP="003C46E4">
      <w:pPr>
        <w:spacing w:afterLines="40" w:after="96"/>
        <w:ind w:left="425" w:right="-11" w:hanging="425"/>
      </w:pPr>
      <w:r>
        <w:t xml:space="preserve">Carruthers, T.R., Kimoto, A., Powers, J., Kell, L., Butterworth, D., Lauretta, M. and </w:t>
      </w:r>
      <w:proofErr w:type="spellStart"/>
      <w:r>
        <w:t>Kitakado</w:t>
      </w:r>
      <w:proofErr w:type="spellEnd"/>
      <w:r>
        <w:t xml:space="preserve">, T. 2015a. Structure and estimation framework for Atlantic bluefin tuna operating models. ICCAT SCRS/2015/179. </w:t>
      </w:r>
    </w:p>
    <w:p w14:paraId="59B445A9" w14:textId="77777777" w:rsidR="003C46E4" w:rsidRDefault="003C46E4" w:rsidP="003C46E4">
      <w:pPr>
        <w:spacing w:afterLines="40" w:after="96"/>
        <w:ind w:left="425" w:right="-11" w:hanging="425"/>
      </w:pPr>
      <w:r>
        <w:t xml:space="preserve">Carruthers, T.R., Powers, J., Lauretta, M., Di Natale, A., Kell, L. 2015b. A summary of data to inform operating models in management strategy evaluation of Atlantic bluefin tuna. ICCAT SCRS/2015/180. </w:t>
      </w:r>
    </w:p>
    <w:p w14:paraId="73E15CA7" w14:textId="77777777" w:rsidR="003C46E4" w:rsidRDefault="003C46E4" w:rsidP="003C46E4">
      <w:pPr>
        <w:spacing w:afterLines="40" w:after="96"/>
        <w:ind w:left="425" w:right="-11" w:hanging="425"/>
        <w:jc w:val="both"/>
      </w:pPr>
    </w:p>
    <w:p w14:paraId="08AAA31C" w14:textId="77777777" w:rsidR="003C46E4" w:rsidRDefault="003C46E4" w:rsidP="001072F1">
      <w:pPr>
        <w:spacing w:afterLines="40" w:after="96"/>
        <w:ind w:left="425" w:right="-11" w:hanging="425"/>
        <w:jc w:val="both"/>
      </w:pPr>
    </w:p>
    <w:p w14:paraId="1915C0BF" w14:textId="77777777" w:rsidR="00DD7FE1" w:rsidRDefault="00DD7FE1" w:rsidP="00B763D2">
      <w:pPr>
        <w:tabs>
          <w:tab w:val="left" w:pos="284"/>
          <w:tab w:val="left" w:pos="567"/>
        </w:tabs>
        <w:rPr>
          <w:rFonts w:cs="Times New Roman"/>
          <w:szCs w:val="20"/>
        </w:rPr>
      </w:pPr>
    </w:p>
    <w:sectPr w:rsidR="00DD7FE1" w:rsidSect="004756EC">
      <w:footerReference w:type="default" r:id="rId15"/>
      <w:headerReference w:type="first" r:id="rId16"/>
      <w:footerReference w:type="first" r:id="rId17"/>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9A9BB" w14:textId="77777777" w:rsidR="00446E49" w:rsidRDefault="00446E49" w:rsidP="003B5FF7">
      <w:r>
        <w:separator/>
      </w:r>
    </w:p>
  </w:endnote>
  <w:endnote w:type="continuationSeparator" w:id="0">
    <w:p w14:paraId="6DE1E0AC" w14:textId="77777777" w:rsidR="00446E49" w:rsidRDefault="00446E49"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5370"/>
      <w:docPartObj>
        <w:docPartGallery w:val="Page Numbers (Bottom of Page)"/>
        <w:docPartUnique/>
      </w:docPartObj>
    </w:sdtPr>
    <w:sdtEndPr>
      <w:rPr>
        <w:noProof/>
      </w:rPr>
    </w:sdtEndPr>
    <w:sdtContent>
      <w:p w14:paraId="6D40392D" w14:textId="7B358EFB" w:rsidR="00B77FE0" w:rsidRDefault="00B77FE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04A190A6" w14:textId="77777777" w:rsidR="00B77FE0" w:rsidRDefault="00B77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8990"/>
      <w:docPartObj>
        <w:docPartGallery w:val="Page Numbers (Bottom of Page)"/>
        <w:docPartUnique/>
      </w:docPartObj>
    </w:sdtPr>
    <w:sdtEndPr>
      <w:rPr>
        <w:noProof/>
      </w:rPr>
    </w:sdtEndPr>
    <w:sdtContent>
      <w:p w14:paraId="4670B7CB" w14:textId="5C9EE1A2" w:rsidR="00B77FE0" w:rsidRDefault="00B77FE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6748805" w14:textId="77777777" w:rsidR="00B77FE0" w:rsidRDefault="00B77F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14BA5" w14:textId="77777777" w:rsidR="00446E49" w:rsidRDefault="00446E49" w:rsidP="003B5FF7">
      <w:r>
        <w:separator/>
      </w:r>
    </w:p>
  </w:footnote>
  <w:footnote w:type="continuationSeparator" w:id="0">
    <w:p w14:paraId="3B2C09FC" w14:textId="77777777" w:rsidR="00446E49" w:rsidRDefault="00446E49" w:rsidP="003B5FF7">
      <w:r>
        <w:continuationSeparator/>
      </w:r>
    </w:p>
  </w:footnote>
  <w:footnote w:id="1">
    <w:p w14:paraId="674705A9" w14:textId="3C48F4F7" w:rsidR="00B77FE0" w:rsidRPr="000934A5" w:rsidRDefault="00B77FE0"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691D8AD0" w:rsidR="00B77FE0" w:rsidRPr="00066B92" w:rsidRDefault="00B77FE0" w:rsidP="00AE7248">
    <w:pPr>
      <w:tabs>
        <w:tab w:val="right" w:pos="9072"/>
      </w:tabs>
    </w:pPr>
    <w:r>
      <w:t>SCRS/2019/XX2</w:t>
    </w:r>
    <w:r w:rsidRPr="00AE7248">
      <w:rPr>
        <w:rFonts w:ascii="Arial" w:hAnsi="Arial"/>
      </w:rPr>
      <w:t xml:space="preserve"> </w:t>
    </w:r>
    <w:r w:rsidRPr="007169FC">
      <w:rPr>
        <w:rFonts w:ascii="Arial" w:hAnsi="Arial"/>
      </w:rPr>
      <w:tab/>
      <w:t xml:space="preserve">Collect. Vol. Sci. Pap. </w:t>
    </w:r>
    <w:r>
      <w:rPr>
        <w:rFonts w:ascii="Arial" w:hAnsi="Arial"/>
      </w:rPr>
      <w:t>ICCAT, ??(?): ???-??? (2019)</w:t>
    </w:r>
  </w:p>
  <w:p w14:paraId="2CB8DE31" w14:textId="41899498" w:rsidR="00B77FE0" w:rsidRDefault="00B77FE0" w:rsidP="00532620">
    <w:pPr>
      <w:pStyle w:val="Header"/>
    </w:pPr>
    <w:r>
      <w:t xml:space="preserve">                                                    </w:t>
    </w:r>
  </w:p>
  <w:p w14:paraId="4B30BB64" w14:textId="77777777" w:rsidR="00B77FE0" w:rsidRDefault="00B77F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29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FF7"/>
    <w:rsid w:val="000011D7"/>
    <w:rsid w:val="00001FA7"/>
    <w:rsid w:val="00003814"/>
    <w:rsid w:val="0000387F"/>
    <w:rsid w:val="000046BA"/>
    <w:rsid w:val="00020915"/>
    <w:rsid w:val="00030EAE"/>
    <w:rsid w:val="000429EB"/>
    <w:rsid w:val="00042CBB"/>
    <w:rsid w:val="00043093"/>
    <w:rsid w:val="00050A47"/>
    <w:rsid w:val="00050E08"/>
    <w:rsid w:val="0005109D"/>
    <w:rsid w:val="0005315B"/>
    <w:rsid w:val="00055D6E"/>
    <w:rsid w:val="00056C23"/>
    <w:rsid w:val="0006069D"/>
    <w:rsid w:val="00064ECA"/>
    <w:rsid w:val="000653A6"/>
    <w:rsid w:val="00067A24"/>
    <w:rsid w:val="0007008F"/>
    <w:rsid w:val="00074DF3"/>
    <w:rsid w:val="00076027"/>
    <w:rsid w:val="0008077F"/>
    <w:rsid w:val="00080DA7"/>
    <w:rsid w:val="00081C2C"/>
    <w:rsid w:val="00082AFE"/>
    <w:rsid w:val="00084F94"/>
    <w:rsid w:val="000934A5"/>
    <w:rsid w:val="00093AFC"/>
    <w:rsid w:val="00094003"/>
    <w:rsid w:val="00094927"/>
    <w:rsid w:val="0009646D"/>
    <w:rsid w:val="000971F0"/>
    <w:rsid w:val="0009732A"/>
    <w:rsid w:val="000A0737"/>
    <w:rsid w:val="000A0CD4"/>
    <w:rsid w:val="000A3CC1"/>
    <w:rsid w:val="000A424D"/>
    <w:rsid w:val="000A595B"/>
    <w:rsid w:val="000A74D7"/>
    <w:rsid w:val="000A76F9"/>
    <w:rsid w:val="000B192A"/>
    <w:rsid w:val="000B5BE3"/>
    <w:rsid w:val="000C05C8"/>
    <w:rsid w:val="000C1103"/>
    <w:rsid w:val="000C21AF"/>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2D41"/>
    <w:rsid w:val="00106FC7"/>
    <w:rsid w:val="001072F1"/>
    <w:rsid w:val="00107857"/>
    <w:rsid w:val="001078F2"/>
    <w:rsid w:val="0011392F"/>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50782"/>
    <w:rsid w:val="001509E1"/>
    <w:rsid w:val="00161EDF"/>
    <w:rsid w:val="001624AE"/>
    <w:rsid w:val="00162545"/>
    <w:rsid w:val="00164EA7"/>
    <w:rsid w:val="00167A82"/>
    <w:rsid w:val="00171055"/>
    <w:rsid w:val="00176645"/>
    <w:rsid w:val="0017693D"/>
    <w:rsid w:val="0018588C"/>
    <w:rsid w:val="001921E6"/>
    <w:rsid w:val="001A3E5E"/>
    <w:rsid w:val="001A4718"/>
    <w:rsid w:val="001A6133"/>
    <w:rsid w:val="001A709A"/>
    <w:rsid w:val="001B088B"/>
    <w:rsid w:val="001B2247"/>
    <w:rsid w:val="001C1A88"/>
    <w:rsid w:val="001C1C4C"/>
    <w:rsid w:val="001C317C"/>
    <w:rsid w:val="001C48D6"/>
    <w:rsid w:val="001C5C20"/>
    <w:rsid w:val="001C6455"/>
    <w:rsid w:val="001D087F"/>
    <w:rsid w:val="001D18BD"/>
    <w:rsid w:val="001D553D"/>
    <w:rsid w:val="001E4B58"/>
    <w:rsid w:val="001F274F"/>
    <w:rsid w:val="001F6BC1"/>
    <w:rsid w:val="002001C1"/>
    <w:rsid w:val="002040E4"/>
    <w:rsid w:val="0020513B"/>
    <w:rsid w:val="00205427"/>
    <w:rsid w:val="00210DEC"/>
    <w:rsid w:val="00214979"/>
    <w:rsid w:val="00220016"/>
    <w:rsid w:val="00220820"/>
    <w:rsid w:val="0022570B"/>
    <w:rsid w:val="00225C0D"/>
    <w:rsid w:val="00242F1A"/>
    <w:rsid w:val="002432F1"/>
    <w:rsid w:val="00247470"/>
    <w:rsid w:val="00250A42"/>
    <w:rsid w:val="00253583"/>
    <w:rsid w:val="00254E45"/>
    <w:rsid w:val="00255E6C"/>
    <w:rsid w:val="002574DC"/>
    <w:rsid w:val="00257E20"/>
    <w:rsid w:val="0026117F"/>
    <w:rsid w:val="00261B6D"/>
    <w:rsid w:val="00265069"/>
    <w:rsid w:val="002654D0"/>
    <w:rsid w:val="00276A26"/>
    <w:rsid w:val="002848B6"/>
    <w:rsid w:val="00284D61"/>
    <w:rsid w:val="00290FDD"/>
    <w:rsid w:val="002914BA"/>
    <w:rsid w:val="00296AEC"/>
    <w:rsid w:val="002A091D"/>
    <w:rsid w:val="002A330E"/>
    <w:rsid w:val="002A6D35"/>
    <w:rsid w:val="002B0171"/>
    <w:rsid w:val="002B156A"/>
    <w:rsid w:val="002B2980"/>
    <w:rsid w:val="002B677A"/>
    <w:rsid w:val="002C26C5"/>
    <w:rsid w:val="002D53D1"/>
    <w:rsid w:val="002E3C7E"/>
    <w:rsid w:val="002E4D73"/>
    <w:rsid w:val="002E5453"/>
    <w:rsid w:val="002F0BD2"/>
    <w:rsid w:val="002F0CB9"/>
    <w:rsid w:val="002F5DBD"/>
    <w:rsid w:val="00302436"/>
    <w:rsid w:val="00303614"/>
    <w:rsid w:val="00314D48"/>
    <w:rsid w:val="003173A4"/>
    <w:rsid w:val="003254CE"/>
    <w:rsid w:val="003263DA"/>
    <w:rsid w:val="0033128E"/>
    <w:rsid w:val="00334347"/>
    <w:rsid w:val="00344FA6"/>
    <w:rsid w:val="0035416E"/>
    <w:rsid w:val="00355D94"/>
    <w:rsid w:val="00364DF5"/>
    <w:rsid w:val="00366037"/>
    <w:rsid w:val="003720A2"/>
    <w:rsid w:val="00372423"/>
    <w:rsid w:val="0037305A"/>
    <w:rsid w:val="003747A2"/>
    <w:rsid w:val="00380CA6"/>
    <w:rsid w:val="0038115E"/>
    <w:rsid w:val="0039034E"/>
    <w:rsid w:val="003923A6"/>
    <w:rsid w:val="00396662"/>
    <w:rsid w:val="00396852"/>
    <w:rsid w:val="0039736D"/>
    <w:rsid w:val="003976A0"/>
    <w:rsid w:val="003B0264"/>
    <w:rsid w:val="003B284A"/>
    <w:rsid w:val="003B3485"/>
    <w:rsid w:val="003B3A82"/>
    <w:rsid w:val="003B5FF7"/>
    <w:rsid w:val="003C03A3"/>
    <w:rsid w:val="003C46E4"/>
    <w:rsid w:val="003C4CB6"/>
    <w:rsid w:val="003C506D"/>
    <w:rsid w:val="003C6A7C"/>
    <w:rsid w:val="003D4A68"/>
    <w:rsid w:val="003E0B20"/>
    <w:rsid w:val="003E40ED"/>
    <w:rsid w:val="003E4FCD"/>
    <w:rsid w:val="003E5F26"/>
    <w:rsid w:val="003F373C"/>
    <w:rsid w:val="00401491"/>
    <w:rsid w:val="00412FFC"/>
    <w:rsid w:val="004209BB"/>
    <w:rsid w:val="00422F3A"/>
    <w:rsid w:val="00425448"/>
    <w:rsid w:val="00425575"/>
    <w:rsid w:val="004317EA"/>
    <w:rsid w:val="00431E5A"/>
    <w:rsid w:val="00432337"/>
    <w:rsid w:val="00446581"/>
    <w:rsid w:val="00446E49"/>
    <w:rsid w:val="004470FD"/>
    <w:rsid w:val="00452B32"/>
    <w:rsid w:val="0045462D"/>
    <w:rsid w:val="00464908"/>
    <w:rsid w:val="00464EFF"/>
    <w:rsid w:val="00470EA9"/>
    <w:rsid w:val="004713B1"/>
    <w:rsid w:val="004756EC"/>
    <w:rsid w:val="004777D4"/>
    <w:rsid w:val="0048083A"/>
    <w:rsid w:val="00480F99"/>
    <w:rsid w:val="00482486"/>
    <w:rsid w:val="00483646"/>
    <w:rsid w:val="00483C1F"/>
    <w:rsid w:val="00487610"/>
    <w:rsid w:val="00494985"/>
    <w:rsid w:val="00495165"/>
    <w:rsid w:val="00495CC5"/>
    <w:rsid w:val="00497C25"/>
    <w:rsid w:val="004A0CAE"/>
    <w:rsid w:val="004A4FB1"/>
    <w:rsid w:val="004A62CA"/>
    <w:rsid w:val="004B1B34"/>
    <w:rsid w:val="004B4540"/>
    <w:rsid w:val="004B78AA"/>
    <w:rsid w:val="004C3CB3"/>
    <w:rsid w:val="004C5F10"/>
    <w:rsid w:val="004C73F2"/>
    <w:rsid w:val="004D02A3"/>
    <w:rsid w:val="004D0836"/>
    <w:rsid w:val="004D21AB"/>
    <w:rsid w:val="004D227E"/>
    <w:rsid w:val="004D6A8A"/>
    <w:rsid w:val="004E09D2"/>
    <w:rsid w:val="004E1256"/>
    <w:rsid w:val="004E17B7"/>
    <w:rsid w:val="004E1E8D"/>
    <w:rsid w:val="004E3BA9"/>
    <w:rsid w:val="004E4286"/>
    <w:rsid w:val="004E581E"/>
    <w:rsid w:val="004E72ED"/>
    <w:rsid w:val="004E74D3"/>
    <w:rsid w:val="004F1801"/>
    <w:rsid w:val="004F2B7B"/>
    <w:rsid w:val="004F2E5E"/>
    <w:rsid w:val="004F493F"/>
    <w:rsid w:val="004F4FFF"/>
    <w:rsid w:val="004F5D3E"/>
    <w:rsid w:val="005002CF"/>
    <w:rsid w:val="0050335F"/>
    <w:rsid w:val="00510971"/>
    <w:rsid w:val="00511CD7"/>
    <w:rsid w:val="0051616B"/>
    <w:rsid w:val="00521603"/>
    <w:rsid w:val="00522D79"/>
    <w:rsid w:val="00523C4A"/>
    <w:rsid w:val="0052729C"/>
    <w:rsid w:val="00532620"/>
    <w:rsid w:val="00533448"/>
    <w:rsid w:val="00533A5B"/>
    <w:rsid w:val="0054232D"/>
    <w:rsid w:val="005437D9"/>
    <w:rsid w:val="0054419F"/>
    <w:rsid w:val="00547B47"/>
    <w:rsid w:val="00550C43"/>
    <w:rsid w:val="0055128E"/>
    <w:rsid w:val="005514AD"/>
    <w:rsid w:val="0055151B"/>
    <w:rsid w:val="0055236B"/>
    <w:rsid w:val="00557531"/>
    <w:rsid w:val="00564D64"/>
    <w:rsid w:val="005650BF"/>
    <w:rsid w:val="00567AE2"/>
    <w:rsid w:val="005739D3"/>
    <w:rsid w:val="0057609C"/>
    <w:rsid w:val="005762FD"/>
    <w:rsid w:val="00576762"/>
    <w:rsid w:val="00577818"/>
    <w:rsid w:val="005826EB"/>
    <w:rsid w:val="005835CE"/>
    <w:rsid w:val="0058379D"/>
    <w:rsid w:val="00584131"/>
    <w:rsid w:val="005871A1"/>
    <w:rsid w:val="005874D9"/>
    <w:rsid w:val="00590DA0"/>
    <w:rsid w:val="005914B3"/>
    <w:rsid w:val="0059637F"/>
    <w:rsid w:val="005B05B5"/>
    <w:rsid w:val="005B14DE"/>
    <w:rsid w:val="005B39D3"/>
    <w:rsid w:val="005B4ECC"/>
    <w:rsid w:val="005B5876"/>
    <w:rsid w:val="005C0AFC"/>
    <w:rsid w:val="005D7DB9"/>
    <w:rsid w:val="005E5E5B"/>
    <w:rsid w:val="005F3661"/>
    <w:rsid w:val="005F5C39"/>
    <w:rsid w:val="00610D95"/>
    <w:rsid w:val="0061105C"/>
    <w:rsid w:val="00614EC9"/>
    <w:rsid w:val="0061666F"/>
    <w:rsid w:val="0061677A"/>
    <w:rsid w:val="00620BA6"/>
    <w:rsid w:val="006210F2"/>
    <w:rsid w:val="00622B1D"/>
    <w:rsid w:val="006317BF"/>
    <w:rsid w:val="006326DC"/>
    <w:rsid w:val="00634253"/>
    <w:rsid w:val="00635641"/>
    <w:rsid w:val="006360EB"/>
    <w:rsid w:val="00636429"/>
    <w:rsid w:val="006406DB"/>
    <w:rsid w:val="00644C5B"/>
    <w:rsid w:val="00662715"/>
    <w:rsid w:val="00664465"/>
    <w:rsid w:val="00667429"/>
    <w:rsid w:val="006702DB"/>
    <w:rsid w:val="00675895"/>
    <w:rsid w:val="006759A2"/>
    <w:rsid w:val="00680166"/>
    <w:rsid w:val="00685503"/>
    <w:rsid w:val="00685691"/>
    <w:rsid w:val="00690461"/>
    <w:rsid w:val="006953EE"/>
    <w:rsid w:val="00697289"/>
    <w:rsid w:val="006A2258"/>
    <w:rsid w:val="006A280B"/>
    <w:rsid w:val="006A4300"/>
    <w:rsid w:val="006A47A6"/>
    <w:rsid w:val="006A6C8C"/>
    <w:rsid w:val="006A7E40"/>
    <w:rsid w:val="006A7FB0"/>
    <w:rsid w:val="006B5C8A"/>
    <w:rsid w:val="006B6F0D"/>
    <w:rsid w:val="006C22FA"/>
    <w:rsid w:val="006C5735"/>
    <w:rsid w:val="006C6862"/>
    <w:rsid w:val="006D2915"/>
    <w:rsid w:val="006D405E"/>
    <w:rsid w:val="006D6CD8"/>
    <w:rsid w:val="006E0CBE"/>
    <w:rsid w:val="006E29AC"/>
    <w:rsid w:val="006E4B5F"/>
    <w:rsid w:val="006E5BE6"/>
    <w:rsid w:val="006E77F7"/>
    <w:rsid w:val="006F30E4"/>
    <w:rsid w:val="006F4A4C"/>
    <w:rsid w:val="006F709F"/>
    <w:rsid w:val="007022A4"/>
    <w:rsid w:val="007062FC"/>
    <w:rsid w:val="00707F3D"/>
    <w:rsid w:val="007114C1"/>
    <w:rsid w:val="00713E23"/>
    <w:rsid w:val="00715388"/>
    <w:rsid w:val="00716E79"/>
    <w:rsid w:val="0071708C"/>
    <w:rsid w:val="007242B5"/>
    <w:rsid w:val="00724406"/>
    <w:rsid w:val="0072484F"/>
    <w:rsid w:val="00724C98"/>
    <w:rsid w:val="00725DA0"/>
    <w:rsid w:val="0072628C"/>
    <w:rsid w:val="00732104"/>
    <w:rsid w:val="007334BB"/>
    <w:rsid w:val="00733AB3"/>
    <w:rsid w:val="0073640F"/>
    <w:rsid w:val="00742069"/>
    <w:rsid w:val="00742CC0"/>
    <w:rsid w:val="007432D0"/>
    <w:rsid w:val="00745B9E"/>
    <w:rsid w:val="00757508"/>
    <w:rsid w:val="007645E9"/>
    <w:rsid w:val="007749F6"/>
    <w:rsid w:val="00775C16"/>
    <w:rsid w:val="00776CDD"/>
    <w:rsid w:val="00782EAB"/>
    <w:rsid w:val="00784AC7"/>
    <w:rsid w:val="00791219"/>
    <w:rsid w:val="00792587"/>
    <w:rsid w:val="00795AE2"/>
    <w:rsid w:val="00795DAD"/>
    <w:rsid w:val="007A013E"/>
    <w:rsid w:val="007A3F4B"/>
    <w:rsid w:val="007A7839"/>
    <w:rsid w:val="007B613A"/>
    <w:rsid w:val="007B7873"/>
    <w:rsid w:val="007B7D05"/>
    <w:rsid w:val="007C1535"/>
    <w:rsid w:val="007C1C06"/>
    <w:rsid w:val="007C2474"/>
    <w:rsid w:val="007C3B35"/>
    <w:rsid w:val="007C46DC"/>
    <w:rsid w:val="007C6DC3"/>
    <w:rsid w:val="007C6F24"/>
    <w:rsid w:val="007C79DC"/>
    <w:rsid w:val="007D027C"/>
    <w:rsid w:val="007D1745"/>
    <w:rsid w:val="007D2903"/>
    <w:rsid w:val="007D4877"/>
    <w:rsid w:val="007E43C0"/>
    <w:rsid w:val="007E4A1F"/>
    <w:rsid w:val="007E7059"/>
    <w:rsid w:val="0080392F"/>
    <w:rsid w:val="008072A0"/>
    <w:rsid w:val="008118CB"/>
    <w:rsid w:val="00813AA2"/>
    <w:rsid w:val="0081697E"/>
    <w:rsid w:val="00817AEC"/>
    <w:rsid w:val="00823727"/>
    <w:rsid w:val="00831B8B"/>
    <w:rsid w:val="008364D1"/>
    <w:rsid w:val="008365CB"/>
    <w:rsid w:val="008412DE"/>
    <w:rsid w:val="00844664"/>
    <w:rsid w:val="00847B49"/>
    <w:rsid w:val="00850EC0"/>
    <w:rsid w:val="00850F72"/>
    <w:rsid w:val="00852AE9"/>
    <w:rsid w:val="00853EEC"/>
    <w:rsid w:val="008551EA"/>
    <w:rsid w:val="00855801"/>
    <w:rsid w:val="00855BB1"/>
    <w:rsid w:val="00855C79"/>
    <w:rsid w:val="00857B60"/>
    <w:rsid w:val="008616B9"/>
    <w:rsid w:val="0086191A"/>
    <w:rsid w:val="00862925"/>
    <w:rsid w:val="00863FBF"/>
    <w:rsid w:val="00864211"/>
    <w:rsid w:val="008642A0"/>
    <w:rsid w:val="008711F0"/>
    <w:rsid w:val="0087188E"/>
    <w:rsid w:val="00873FC7"/>
    <w:rsid w:val="00876EE9"/>
    <w:rsid w:val="0087792C"/>
    <w:rsid w:val="0088057B"/>
    <w:rsid w:val="00880F9E"/>
    <w:rsid w:val="008833BD"/>
    <w:rsid w:val="00893193"/>
    <w:rsid w:val="00894973"/>
    <w:rsid w:val="00897095"/>
    <w:rsid w:val="008A092B"/>
    <w:rsid w:val="008A0BF5"/>
    <w:rsid w:val="008A150E"/>
    <w:rsid w:val="008A1832"/>
    <w:rsid w:val="008A2FBD"/>
    <w:rsid w:val="008A49E4"/>
    <w:rsid w:val="008B1675"/>
    <w:rsid w:val="008B566C"/>
    <w:rsid w:val="008B5FBF"/>
    <w:rsid w:val="008C0190"/>
    <w:rsid w:val="008C3CDC"/>
    <w:rsid w:val="008C6481"/>
    <w:rsid w:val="008D1515"/>
    <w:rsid w:val="008D1F3A"/>
    <w:rsid w:val="008E0334"/>
    <w:rsid w:val="008E5E0C"/>
    <w:rsid w:val="008E62E2"/>
    <w:rsid w:val="008F0BDA"/>
    <w:rsid w:val="008F3CCE"/>
    <w:rsid w:val="008F69A0"/>
    <w:rsid w:val="00901E12"/>
    <w:rsid w:val="00905E47"/>
    <w:rsid w:val="00906B8D"/>
    <w:rsid w:val="00912187"/>
    <w:rsid w:val="00912EB6"/>
    <w:rsid w:val="00916F2A"/>
    <w:rsid w:val="0092014A"/>
    <w:rsid w:val="00920685"/>
    <w:rsid w:val="00933F51"/>
    <w:rsid w:val="0093422A"/>
    <w:rsid w:val="009367B4"/>
    <w:rsid w:val="00945D1D"/>
    <w:rsid w:val="00951097"/>
    <w:rsid w:val="00951331"/>
    <w:rsid w:val="00952F03"/>
    <w:rsid w:val="00954998"/>
    <w:rsid w:val="00955949"/>
    <w:rsid w:val="0095606D"/>
    <w:rsid w:val="00960020"/>
    <w:rsid w:val="00960681"/>
    <w:rsid w:val="00961255"/>
    <w:rsid w:val="009615A4"/>
    <w:rsid w:val="00965100"/>
    <w:rsid w:val="0096574B"/>
    <w:rsid w:val="00967AE9"/>
    <w:rsid w:val="0097449F"/>
    <w:rsid w:val="009762C5"/>
    <w:rsid w:val="00977D72"/>
    <w:rsid w:val="009848B6"/>
    <w:rsid w:val="00985752"/>
    <w:rsid w:val="00986B74"/>
    <w:rsid w:val="009879F3"/>
    <w:rsid w:val="0099189C"/>
    <w:rsid w:val="009971AF"/>
    <w:rsid w:val="009A19DF"/>
    <w:rsid w:val="009A6B0C"/>
    <w:rsid w:val="009B203E"/>
    <w:rsid w:val="009B4B7E"/>
    <w:rsid w:val="009B627B"/>
    <w:rsid w:val="009C0D2F"/>
    <w:rsid w:val="009C72C9"/>
    <w:rsid w:val="009D144F"/>
    <w:rsid w:val="009D1F00"/>
    <w:rsid w:val="009D4AC5"/>
    <w:rsid w:val="009E0C4D"/>
    <w:rsid w:val="009E2D14"/>
    <w:rsid w:val="009E3123"/>
    <w:rsid w:val="009F101C"/>
    <w:rsid w:val="009F791A"/>
    <w:rsid w:val="00A0032D"/>
    <w:rsid w:val="00A10C68"/>
    <w:rsid w:val="00A17CAA"/>
    <w:rsid w:val="00A215AA"/>
    <w:rsid w:val="00A22EC2"/>
    <w:rsid w:val="00A251F1"/>
    <w:rsid w:val="00A2680C"/>
    <w:rsid w:val="00A31D9D"/>
    <w:rsid w:val="00A31F64"/>
    <w:rsid w:val="00A33EBC"/>
    <w:rsid w:val="00A33F3B"/>
    <w:rsid w:val="00A357DF"/>
    <w:rsid w:val="00A358A5"/>
    <w:rsid w:val="00A41EA0"/>
    <w:rsid w:val="00A44C5E"/>
    <w:rsid w:val="00A47CB0"/>
    <w:rsid w:val="00A51154"/>
    <w:rsid w:val="00A539E1"/>
    <w:rsid w:val="00A54837"/>
    <w:rsid w:val="00A5515D"/>
    <w:rsid w:val="00A56824"/>
    <w:rsid w:val="00A57C1F"/>
    <w:rsid w:val="00A60829"/>
    <w:rsid w:val="00A62AC3"/>
    <w:rsid w:val="00A63733"/>
    <w:rsid w:val="00A6723A"/>
    <w:rsid w:val="00A76E65"/>
    <w:rsid w:val="00A80759"/>
    <w:rsid w:val="00A8201D"/>
    <w:rsid w:val="00A82052"/>
    <w:rsid w:val="00A82BF9"/>
    <w:rsid w:val="00A830BA"/>
    <w:rsid w:val="00A84DE1"/>
    <w:rsid w:val="00A84FC4"/>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02EC"/>
    <w:rsid w:val="00AE178B"/>
    <w:rsid w:val="00AE3A02"/>
    <w:rsid w:val="00AE7248"/>
    <w:rsid w:val="00AF0D7B"/>
    <w:rsid w:val="00AF7149"/>
    <w:rsid w:val="00B0596A"/>
    <w:rsid w:val="00B06154"/>
    <w:rsid w:val="00B10132"/>
    <w:rsid w:val="00B153ED"/>
    <w:rsid w:val="00B167A1"/>
    <w:rsid w:val="00B17CCA"/>
    <w:rsid w:val="00B21674"/>
    <w:rsid w:val="00B217AD"/>
    <w:rsid w:val="00B23B8F"/>
    <w:rsid w:val="00B26AAC"/>
    <w:rsid w:val="00B32763"/>
    <w:rsid w:val="00B34E48"/>
    <w:rsid w:val="00B35920"/>
    <w:rsid w:val="00B4095C"/>
    <w:rsid w:val="00B416AF"/>
    <w:rsid w:val="00B45620"/>
    <w:rsid w:val="00B469B7"/>
    <w:rsid w:val="00B50215"/>
    <w:rsid w:val="00B57376"/>
    <w:rsid w:val="00B62762"/>
    <w:rsid w:val="00B67488"/>
    <w:rsid w:val="00B67E87"/>
    <w:rsid w:val="00B733C4"/>
    <w:rsid w:val="00B763D2"/>
    <w:rsid w:val="00B77FE0"/>
    <w:rsid w:val="00B87E09"/>
    <w:rsid w:val="00B95428"/>
    <w:rsid w:val="00B96C8E"/>
    <w:rsid w:val="00BA66D6"/>
    <w:rsid w:val="00BA7680"/>
    <w:rsid w:val="00BD77F6"/>
    <w:rsid w:val="00BE11A5"/>
    <w:rsid w:val="00BE1E57"/>
    <w:rsid w:val="00BF285B"/>
    <w:rsid w:val="00BF3885"/>
    <w:rsid w:val="00BF3D0A"/>
    <w:rsid w:val="00BF4C6D"/>
    <w:rsid w:val="00BF4F3F"/>
    <w:rsid w:val="00BF7E27"/>
    <w:rsid w:val="00C05DCB"/>
    <w:rsid w:val="00C10ECE"/>
    <w:rsid w:val="00C13CE4"/>
    <w:rsid w:val="00C14181"/>
    <w:rsid w:val="00C15D60"/>
    <w:rsid w:val="00C17370"/>
    <w:rsid w:val="00C176E2"/>
    <w:rsid w:val="00C26884"/>
    <w:rsid w:val="00C32691"/>
    <w:rsid w:val="00C32C8D"/>
    <w:rsid w:val="00C42C69"/>
    <w:rsid w:val="00C431A5"/>
    <w:rsid w:val="00C470AB"/>
    <w:rsid w:val="00C50131"/>
    <w:rsid w:val="00C546AA"/>
    <w:rsid w:val="00C61397"/>
    <w:rsid w:val="00C617D5"/>
    <w:rsid w:val="00C61DEB"/>
    <w:rsid w:val="00C63A73"/>
    <w:rsid w:val="00C65AF3"/>
    <w:rsid w:val="00C705E7"/>
    <w:rsid w:val="00C83136"/>
    <w:rsid w:val="00C84014"/>
    <w:rsid w:val="00C86D0E"/>
    <w:rsid w:val="00C90442"/>
    <w:rsid w:val="00C90B86"/>
    <w:rsid w:val="00C92B21"/>
    <w:rsid w:val="00C93A1E"/>
    <w:rsid w:val="00C94730"/>
    <w:rsid w:val="00C968E7"/>
    <w:rsid w:val="00CB7306"/>
    <w:rsid w:val="00CC712A"/>
    <w:rsid w:val="00CD3904"/>
    <w:rsid w:val="00CE4CCB"/>
    <w:rsid w:val="00CF0E69"/>
    <w:rsid w:val="00CF34C5"/>
    <w:rsid w:val="00CF5760"/>
    <w:rsid w:val="00CF7788"/>
    <w:rsid w:val="00D01827"/>
    <w:rsid w:val="00D06964"/>
    <w:rsid w:val="00D06DBA"/>
    <w:rsid w:val="00D06FA5"/>
    <w:rsid w:val="00D14E1C"/>
    <w:rsid w:val="00D1659B"/>
    <w:rsid w:val="00D17714"/>
    <w:rsid w:val="00D178A4"/>
    <w:rsid w:val="00D2021E"/>
    <w:rsid w:val="00D24E3B"/>
    <w:rsid w:val="00D25557"/>
    <w:rsid w:val="00D26E3F"/>
    <w:rsid w:val="00D27EB2"/>
    <w:rsid w:val="00D32BF7"/>
    <w:rsid w:val="00D35A60"/>
    <w:rsid w:val="00D3775F"/>
    <w:rsid w:val="00D41512"/>
    <w:rsid w:val="00D41A1B"/>
    <w:rsid w:val="00D468C3"/>
    <w:rsid w:val="00D5288D"/>
    <w:rsid w:val="00D60CB4"/>
    <w:rsid w:val="00D614C3"/>
    <w:rsid w:val="00D62708"/>
    <w:rsid w:val="00D633DD"/>
    <w:rsid w:val="00D63553"/>
    <w:rsid w:val="00D67FCA"/>
    <w:rsid w:val="00D7061C"/>
    <w:rsid w:val="00D74907"/>
    <w:rsid w:val="00D82491"/>
    <w:rsid w:val="00D948D9"/>
    <w:rsid w:val="00DA1C7D"/>
    <w:rsid w:val="00DA2CD0"/>
    <w:rsid w:val="00DA3073"/>
    <w:rsid w:val="00DB0B76"/>
    <w:rsid w:val="00DB1038"/>
    <w:rsid w:val="00DB3C25"/>
    <w:rsid w:val="00DB4153"/>
    <w:rsid w:val="00DB4900"/>
    <w:rsid w:val="00DC16C1"/>
    <w:rsid w:val="00DC280B"/>
    <w:rsid w:val="00DC6C88"/>
    <w:rsid w:val="00DC6DC0"/>
    <w:rsid w:val="00DD133B"/>
    <w:rsid w:val="00DD52AC"/>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54C61"/>
    <w:rsid w:val="00E57929"/>
    <w:rsid w:val="00E610E5"/>
    <w:rsid w:val="00E61BCE"/>
    <w:rsid w:val="00E6272D"/>
    <w:rsid w:val="00E62E41"/>
    <w:rsid w:val="00E74A3B"/>
    <w:rsid w:val="00E74B88"/>
    <w:rsid w:val="00E74C0F"/>
    <w:rsid w:val="00E74FE2"/>
    <w:rsid w:val="00E8155B"/>
    <w:rsid w:val="00E83F6D"/>
    <w:rsid w:val="00E84286"/>
    <w:rsid w:val="00E942AA"/>
    <w:rsid w:val="00E9708D"/>
    <w:rsid w:val="00E97182"/>
    <w:rsid w:val="00EA4138"/>
    <w:rsid w:val="00EB4761"/>
    <w:rsid w:val="00EB530B"/>
    <w:rsid w:val="00EB7F5A"/>
    <w:rsid w:val="00EC4BE6"/>
    <w:rsid w:val="00EC4C81"/>
    <w:rsid w:val="00ED32E1"/>
    <w:rsid w:val="00ED715D"/>
    <w:rsid w:val="00ED7359"/>
    <w:rsid w:val="00ED7804"/>
    <w:rsid w:val="00EE22E3"/>
    <w:rsid w:val="00EE7C9F"/>
    <w:rsid w:val="00EF1ACD"/>
    <w:rsid w:val="00EF590E"/>
    <w:rsid w:val="00EF614A"/>
    <w:rsid w:val="00EF73A6"/>
    <w:rsid w:val="00F012A7"/>
    <w:rsid w:val="00F01E65"/>
    <w:rsid w:val="00F04B1E"/>
    <w:rsid w:val="00F06C48"/>
    <w:rsid w:val="00F131CC"/>
    <w:rsid w:val="00F15721"/>
    <w:rsid w:val="00F157C5"/>
    <w:rsid w:val="00F16A2B"/>
    <w:rsid w:val="00F16B3D"/>
    <w:rsid w:val="00F16CFE"/>
    <w:rsid w:val="00F17330"/>
    <w:rsid w:val="00F17E91"/>
    <w:rsid w:val="00F23CB1"/>
    <w:rsid w:val="00F25AC3"/>
    <w:rsid w:val="00F27203"/>
    <w:rsid w:val="00F370EA"/>
    <w:rsid w:val="00F4031A"/>
    <w:rsid w:val="00F40FE5"/>
    <w:rsid w:val="00F41A44"/>
    <w:rsid w:val="00F46208"/>
    <w:rsid w:val="00F50E96"/>
    <w:rsid w:val="00F52163"/>
    <w:rsid w:val="00F5545F"/>
    <w:rsid w:val="00F60F1C"/>
    <w:rsid w:val="00F6334C"/>
    <w:rsid w:val="00F637E9"/>
    <w:rsid w:val="00F657BD"/>
    <w:rsid w:val="00F72C5C"/>
    <w:rsid w:val="00F75D8A"/>
    <w:rsid w:val="00F76789"/>
    <w:rsid w:val="00F8511C"/>
    <w:rsid w:val="00F91ADF"/>
    <w:rsid w:val="00F9468C"/>
    <w:rsid w:val="00FA2C89"/>
    <w:rsid w:val="00FA6964"/>
    <w:rsid w:val="00FA69B6"/>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A1B"/>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ind w:left="576"/>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3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 w:type="table" w:customStyle="1" w:styleId="TableGrid1">
    <w:name w:val="Table Grid1"/>
    <w:basedOn w:val="TableNormal"/>
    <w:next w:val="TableGrid"/>
    <w:uiPriority w:val="59"/>
    <w:rsid w:val="00863FBF"/>
    <w:pPr>
      <w:spacing w:after="0" w:line="240" w:lineRule="auto"/>
    </w:pPr>
    <w:rPr>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4371">
      <w:bodyDiv w:val="1"/>
      <w:marLeft w:val="0"/>
      <w:marRight w:val="0"/>
      <w:marTop w:val="0"/>
      <w:marBottom w:val="0"/>
      <w:divBdr>
        <w:top w:val="none" w:sz="0" w:space="0" w:color="auto"/>
        <w:left w:val="none" w:sz="0" w:space="0" w:color="auto"/>
        <w:bottom w:val="none" w:sz="0" w:space="0" w:color="auto"/>
        <w:right w:val="none" w:sz="0" w:space="0" w:color="auto"/>
      </w:divBdr>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281034452">
      <w:bodyDiv w:val="1"/>
      <w:marLeft w:val="0"/>
      <w:marRight w:val="0"/>
      <w:marTop w:val="0"/>
      <w:marBottom w:val="0"/>
      <w:divBdr>
        <w:top w:val="none" w:sz="0" w:space="0" w:color="auto"/>
        <w:left w:val="none" w:sz="0" w:space="0" w:color="auto"/>
        <w:bottom w:val="none" w:sz="0" w:space="0" w:color="auto"/>
        <w:right w:val="none" w:sz="0" w:space="0" w:color="auto"/>
      </w:divBdr>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ccat.int/Documents/SCRS/DetRe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A8DC8-64B6-4E96-A4DD-BEF0AFFD1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10</Pages>
  <Words>2870</Words>
  <Characters>16362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24</cp:revision>
  <cp:lastPrinted>2018-10-20T21:22:00Z</cp:lastPrinted>
  <dcterms:created xsi:type="dcterms:W3CDTF">2019-05-10T19:49:00Z</dcterms:created>
  <dcterms:modified xsi:type="dcterms:W3CDTF">2019-05-16T21:20:00Z</dcterms:modified>
</cp:coreProperties>
</file>