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7.pdf" ContentType="application/pdf"/>
  <Override PartName="/word/media/rId59.pdf" ContentType="application/pdf"/>
  <Override PartName="/word/media/rId58.pdf" ContentType="application/pdf"/>
  <Override PartName="/word/media/rId60.pdf" ContentType="application/pdf"/>
  <Override PartName="/word/media/rId56.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conservation and socio-economic objectives.</w:t>
      </w:r>
      <w:r>
        <w:t xml:space="preserve"> </w:t>
      </w:r>
      <w:r>
        <w:t xml:space="preserve">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processes, Canadian Science Advisory</w:t>
      </w:r>
      <w:r>
        <w:t xml:space="preserve"> </w:t>
      </w:r>
      <w:r>
        <w:t xml:space="preserve">Secretariat Science Responses, and independent peer-reviewed</w:t>
      </w:r>
      <w:r>
        <w:t xml:space="preserve"> </w:t>
      </w:r>
      <w:r>
        <w:t xml:space="preserve">scientific journals and books since 2008</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and subsequently</w:t>
      </w:r>
      <w:r>
        <w:t xml:space="preserve"> </w:t>
      </w:r>
      <w:r>
        <w:t xml:space="preserve">approved by the Minister of Fisheries every year since 2011.</w:t>
      </w:r>
    </w:p>
    <w:p>
      <w:pPr>
        <w:pStyle w:val="BodyText"/>
      </w:pPr>
      <w:r>
        <w:t xml:space="preserve">The Sablefish MSE aims to follow a 3-year cycle in which the</w:t>
      </w:r>
      <w:r>
        <w:t xml:space="preserve"> </w:t>
      </w:r>
      <w:r>
        <w:t xml:space="preserve">operating model (OM)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conservation and fishery objectives, as well as to</w:t>
      </w:r>
      <w:r>
        <w:t xml:space="preserve"> </w:t>
      </w:r>
      <w:r>
        <w:t xml:space="preserve">propose new candidate MPs.</w:t>
      </w:r>
    </w:p>
    <w:p>
      <w:pPr>
        <w:pStyle w:val="BodyText"/>
      </w:pPr>
      <w:r>
        <w:t xml:space="preserve">Previous BC Sablefish assessment and MSE work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informal move on</w:t>
      </w:r>
      <w:r>
        <w:t xml:space="preserve"> </w:t>
      </w:r>
      <w:r>
        <w:t xml:space="preserve">rules, and increased electronic monitoring), to date management</w:t>
      </w:r>
      <w:r>
        <w:t xml:space="preserve"> </w:t>
      </w:r>
      <w:r>
        <w:t xml:space="preserve">tactics aimed at reducing sub-legal mortality have not been</w:t>
      </w:r>
      <w:r>
        <w:t xml:space="preserve"> </w:t>
      </w:r>
      <w:r>
        <w:t xml:space="preserve">formally evaluated through the Sablefish MSE process. However,</w:t>
      </w:r>
      <w:r>
        <w:t xml:space="preserve"> </w:t>
      </w:r>
      <w:r>
        <w:t xml:space="preserve">past 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 potential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operating model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regulation options aimed at</w:t>
      </w:r>
      <w:r>
        <w:t xml:space="preserve"> </w:t>
      </w:r>
      <w:r>
        <w:t xml:space="preserve">reducing productivity losses to sub-legal mortality. The key issue</w:t>
      </w:r>
      <w:r>
        <w:t xml:space="preserve"> </w:t>
      </w:r>
      <w:r>
        <w:t xml:space="preserve">in (iii) is identifying MPs that minimize the impact of such regulations</w:t>
      </w:r>
      <w:r>
        <w:t xml:space="preserve"> </w:t>
      </w:r>
      <w:r>
        <w:t xml:space="preserve">on fishing opportunities in non-directed fisheries (i.e., trawl)</w:t>
      </w:r>
      <w:r>
        <w:t xml:space="preserve"> </w:t>
      </w:r>
      <w:r>
        <w:t xml:space="preserve">where sub-legal Sablefish are captured incidentally.</w:t>
      </w:r>
    </w:p>
    <w:p>
      <w:pPr>
        <w:pStyle w:val="BodyText"/>
      </w:pPr>
      <w:r>
        <w:t xml:space="preserve">Advice arising from this Canadian Science Advisory Secretariat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(DFO</w:t>
      </w:r>
      <w:r>
        <w:t xml:space="preserve"> </w:t>
      </w:r>
      <w:hyperlink w:anchor="ref-DFO2006A-Harvest-Strat">
        <w:r>
          <w:rPr>
            <w:rStyle w:val="Hyperlink"/>
          </w:rPr>
          <w:t xml:space="preserve">2006</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used to condition the</w:t>
      </w:r>
      <w:r>
        <w:t xml:space="preserve"> </w:t>
      </w:r>
      <w:r>
        <w:t xml:space="preserve">Sablefish OM, the changes required to fit that data, and</w:t>
      </w:r>
      <w:r>
        <w:t xml:space="preserve"> </w:t>
      </w:r>
      <w:r>
        <w:t xml:space="preserve">the new MP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Heading3"/>
      </w:pPr>
      <w:bookmarkStart w:id="22" w:name="objectives"/>
      <w:r>
        <w:t xml:space="preserve">Objectives</w:t>
      </w:r>
      <w:bookmarkEnd w:id="22"/>
    </w:p>
    <w:p>
      <w:pPr>
        <w:pStyle w:val="FirstParagraph"/>
      </w:pPr>
      <w:r>
        <w:t xml:space="preserve">The specific objectives of this Science Response are to:</w:t>
      </w:r>
    </w:p>
    <w:p>
      <w:pPr>
        <w:pStyle w:val="Compact"/>
        <w:numPr>
          <w:numId w:val="1001"/>
          <w:ilvl w:val="0"/>
        </w:numPr>
      </w:pPr>
      <w:r>
        <w:t xml:space="preserve">Describe OM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five reference OMs and five</w:t>
      </w:r>
      <w:r>
        <w:t xml:space="preserve"> </w:t>
      </w:r>
      <w:r>
        <w:t xml:space="preserve">robustness trial OMs based on uncertainties about</w:t>
      </w:r>
      <w:r>
        <w:t xml:space="preserve"> </w:t>
      </w:r>
      <w:r>
        <w:t xml:space="preserve">Sablefish stock status and productivity (reference OMs) and</w:t>
      </w:r>
      <w:r>
        <w:t xml:space="preserve"> </w:t>
      </w:r>
      <w:r>
        <w:t xml:space="preserve">year 2016 recruitment (robustness OMs);</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3" w:name="methods"/>
      <w:r>
        <w:t xml:space="preserve">Methods</w:t>
      </w:r>
      <w:bookmarkEnd w:id="23"/>
    </w:p>
    <w:p>
      <w:pPr>
        <w:pStyle w:val="Heading3"/>
      </w:pPr>
      <w:bookmarkStart w:id="24" w:name="updates-to-the-om"/>
      <w:r>
        <w:t xml:space="preserve">Updates to the OM</w:t>
      </w:r>
      <w:bookmarkEnd w:id="24"/>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We also obtained new</w:t>
      </w:r>
      <w:r>
        <w:t xml:space="preserve"> </w:t>
      </w:r>
      <w:r>
        <w:t xml:space="preserve">catch-at-age and catch-at-length datasets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OM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2016, rather than using the expected recruitment off the</w:t>
      </w:r>
      <w:r>
        <w:t xml:space="preserve"> </w:t>
      </w:r>
      <w:r>
        <w:t xml:space="preserve">stock-recruit curve, (v) updating the ageing-error matrix to use</w:t>
      </w:r>
      <w:r>
        <w:t xml:space="preserve"> </w:t>
      </w:r>
      <w:r>
        <w:t xml:space="preserve">a simpler normal approximation a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3 most recent years,</w:t>
      </w:r>
      <w:r>
        <w:t xml:space="preserve"> </w:t>
      </w:r>
      <w:r>
        <w:t xml:space="preserve">mainly because (i) this would have been the first age-at-entry</w:t>
      </w:r>
      <w:r>
        <w:t xml:space="preserve"> </w:t>
      </w:r>
      <w:r>
        <w:t xml:space="preserve">to the observations provided to the model and (ii)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5" w:name="operating-model-scenarios"/>
      <w:r>
        <w:t xml:space="preserve">Operating model scenarios</w:t>
      </w:r>
      <w:bookmarkEnd w:id="25"/>
    </w:p>
    <w:p>
      <w:pPr>
        <w:pStyle w:val="Heading4"/>
      </w:pPr>
      <w:bookmarkStart w:id="26" w:name="reference-oms"/>
      <w:r>
        <w:t xml:space="preserve">Reference OMs</w:t>
      </w:r>
      <w:bookmarkEnd w:id="26"/>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 5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5 combinations are chosen to</w:t>
      </w:r>
      <w:r>
        <w:t xml:space="preserve"> </w:t>
      </w:r>
      <w:r>
        <w:t xml:space="preserve">represent the joint marginal mean of 2018 biomass and steepness and 4</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This set of five OMs was chosen to maintain</w:t>
      </w:r>
      <w:r>
        <w:t xml:space="preserve"> </w:t>
      </w:r>
      <w:r>
        <w:t xml:space="preserve">consistency with the previous MSE cycle</w:t>
      </w:r>
      <w:r>
        <w:t xml:space="preserve"> </w:t>
      </w:r>
      <w:r>
        <w:t xml:space="preserve">(Cox et al.</w:t>
      </w:r>
      <w:r>
        <w:t xml:space="preserve"> </w:t>
      </w:r>
      <w:hyperlink w:anchor="ref-cox2019evaluating">
        <w:r>
          <w:rPr>
            <w:rStyle w:val="Hyperlink"/>
          </w:rPr>
          <w:t xml:space="preserve">2019</w:t>
        </w:r>
      </w:hyperlink>
      <w:r>
        <w:t xml:space="preserve">)</w:t>
      </w:r>
      <w:r>
        <w:t xml:space="preserve">. For each</w:t>
      </w:r>
      <w:r>
        <w:t xml:space="preserve"> </w:t>
      </w:r>
      <w:r>
        <w:t xml:space="preserve">of the 5 posterior points, the operating model was conditioned on a</w:t>
      </w:r>
      <w:r>
        <w:t xml:space="preserve"> </w:t>
      </w:r>
      <w:r>
        <w:t xml:space="preserve">sample of 100 posterior draws constrained to lie within a Mahalanobis</w:t>
      </w:r>
      <w:r>
        <w:t xml:space="preserve"> </w:t>
      </w:r>
      <w:r>
        <w:t xml:space="preserve">distance of 0.75 units from that point. We then used an empirical</w:t>
      </w:r>
      <w:r>
        <w:t xml:space="preserve"> </w:t>
      </w:r>
      <w:r>
        <w:t xml:space="preserve">estimate of the posterior density at each of the 5 centres as a</w:t>
      </w:r>
      <w:r>
        <w:t xml:space="preserve"> </w:t>
      </w:r>
      <w:r>
        <w:t xml:space="preserve">plausibility score for weighting MP performance across the</w:t>
      </w:r>
      <w:r>
        <w:t xml:space="preserve"> </w:t>
      </w:r>
      <w:r>
        <w:t xml:space="preserve">5 OMs within each of the reference and robustness sets.</w:t>
      </w:r>
    </w:p>
    <w:p>
      <w:pPr>
        <w:pStyle w:val="Heading4"/>
      </w:pPr>
      <w:bookmarkStart w:id="27" w:name="robustness-oms"/>
      <w:r>
        <w:t xml:space="preserve">Robustness OMs</w:t>
      </w:r>
      <w:bookmarkEnd w:id="27"/>
    </w:p>
    <w:p>
      <w:pPr>
        <w:pStyle w:val="FirstParagraph"/>
      </w:pPr>
      <w:r>
        <w:t xml:space="preserve">The robustness OMs were identical to the 5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w:t>
      </w:r>
      <w:r>
        <w:br w:type="textWrapping"/>
      </w:r>
      <w:r>
        <w:t xml:space="preserve">recruitment based on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8" w:name="fishery-objectives"/>
      <w:r>
        <w:t xml:space="preserve">Fishery Objectives</w:t>
      </w:r>
      <w:bookmarkEnd w:id="28"/>
    </w:p>
    <w:p>
      <w:pPr>
        <w:pStyle w:val="FirstParagraph"/>
      </w:pPr>
      <w:r>
        <w:t xml:space="preserve">Objectives for the B.C. Sablefish fishery have been developed</w:t>
      </w:r>
      <w:r>
        <w:t xml:space="preserve"> </w:t>
      </w:r>
      <w:r>
        <w:t xml:space="preserve">iteratively over the past decade via consultations between</w:t>
      </w:r>
      <w:r>
        <w:t xml:space="preserve"> </w:t>
      </w:r>
      <w:r>
        <w:t xml:space="preserve">fishery managers, scientists, 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OM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P(Catch &gt; 1,992 t)</w:t>
      </w:r>
      <w:r>
        <w:t xml:space="preserve">: Minimize probability that annual catch levels</w:t>
      </w:r>
      <w:r>
        <w:t xml:space="preserve"> </w:t>
      </w:r>
      <w:r>
        <w:t xml:space="preserve">are below 1,992 tonnes measured over two Sablefish</w:t>
      </w:r>
      <w:r>
        <w:t xml:space="preserve"> </w:t>
      </w:r>
      <w:r>
        <w:t xml:space="preserve">generations; and</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regulation</w:t>
      </w:r>
      <w:r>
        <w:t xml:space="preserve"> </w:t>
      </w:r>
      <w:r>
        <w:t xml:space="preserve">options that require landing small Sablefish (e.g., no size limit). Therefore,</w:t>
      </w:r>
      <w:r>
        <w:t xml:space="preserve"> </w:t>
      </w:r>
      <w:r>
        <w:t xml:space="preserve">in addition to presenting catch performance statistics (e.g.,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9" w:name="management-procedures"/>
      <w:r>
        <w:t xml:space="preserve">Management procedures</w:t>
      </w:r>
      <w:bookmarkEnd w:id="29"/>
    </w:p>
    <w:p>
      <w:pPr>
        <w:pStyle w:val="FirstParagraph"/>
      </w:pPr>
      <w:r>
        <w:t xml:space="preserve">A management procedure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2011 and revised in two subsequent MSE iterations. Generally, the</w:t>
      </w:r>
      <w:r>
        <w:t xml:space="preserve"> </w:t>
      </w:r>
      <w:r>
        <w:t xml:space="preserve">MP consists of (i)</w:t>
      </w:r>
      <w:r>
        <w:t xml:space="preserve"> </w:t>
      </w:r>
      <w:r>
        <w:rPr>
          <w:b/>
        </w:rPr>
        <w:t xml:space="preserve">data</w:t>
      </w:r>
      <w:r>
        <w:t xml:space="preserve"> </w:t>
      </w:r>
      <w:r>
        <w:t xml:space="preserve">- landed catch and three biomass indices;</w:t>
      </w:r>
      <w:r>
        <w:t xml:space="preserve"> </w:t>
      </w:r>
      <w:r>
        <w:t xml:space="preserve">(ii)</w:t>
      </w:r>
      <w:r>
        <w:t xml:space="preserve"> </w:t>
      </w:r>
      <w:r>
        <w:rPr>
          <w:b/>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b/>
        </w:rPr>
        <w:t xml:space="preserve">harvest control rule</w:t>
      </w:r>
      <w:r>
        <w:t xml:space="preserve"> </w:t>
      </w:r>
      <w:r>
        <w:t xml:space="preserve">- a 60:40 harvest control rule</w:t>
      </w:r>
      <w:r>
        <w:t xml:space="preserve"> </w:t>
      </w:r>
      <w:r>
        <w:t xml:space="preserve">(HCR) in which the target harvest rate is adjusted from a maximum value, if estimated</w:t>
      </w:r>
      <w:r>
        <w:t xml:space="preserve"> </w:t>
      </w:r>
      <w:r>
        <w:t xml:space="preserve">biomass is above 60% of estimated</w:t>
      </w:r>
      <w:r>
        <w:t xml:space="preserve"> </w:t>
      </w:r>
      <m:oMath>
        <m:sSub>
          <m:e>
            <m:r>
              <m:t>B</m:t>
            </m:r>
          </m:e>
          <m:sub>
            <m:r>
              <m:t>M</m:t>
            </m:r>
            <m:r>
              <m:t>S</m:t>
            </m:r>
            <m:r>
              <m:t>Y</m:t>
            </m:r>
          </m:sub>
        </m:sSub>
      </m:oMath>
      <w:r>
        <w:t xml:space="preserve">, to 0% when the estimated biomass</w:t>
      </w:r>
      <w:r>
        <w:t xml:space="preserve"> </w:t>
      </w:r>
      <w:r>
        <w:t xml:space="preserve">is below 40% of</w:t>
      </w:r>
      <w:r>
        <w:t xml:space="preserve"> </w:t>
      </w:r>
      <m:oMath>
        <m:sSub>
          <m:e>
            <m:r>
              <m:t>B</m:t>
            </m:r>
          </m:e>
          <m:sub>
            <m:r>
              <m:t>M</m:t>
            </m:r>
            <m:r>
              <m:t>S</m:t>
            </m:r>
            <m:r>
              <m:t>Y</m:t>
            </m:r>
          </m:sub>
        </m:sSub>
      </m:oMath>
      <w:r>
        <w:t xml:space="preserve">; (iv)</w:t>
      </w:r>
      <w:r>
        <w:t xml:space="preserve"> </w:t>
      </w:r>
      <w:r>
        <w:rPr>
          <w:b/>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b/>
        </w:rPr>
        <w:t xml:space="preserve">a meta rule</w:t>
      </w:r>
      <w:r>
        <w:t xml:space="preserve"> </w:t>
      </w:r>
      <w:r>
        <w:t xml:space="preserve">adjusting the maximum target</w:t>
      </w:r>
      <w:r>
        <w:t xml:space="preserve"> </w:t>
      </w:r>
      <w:r>
        <w:t xml:space="preserve">fishing mortality rate from 9.5% in 2017 to 5.5% in 2021.</w:t>
      </w:r>
    </w:p>
    <w:p>
      <w:pPr>
        <w:pStyle w:val="BodyText"/>
      </w:pPr>
      <w:r>
        <w:t xml:space="preserve">For this Science Response, we evaluated performance of the current MP for</w:t>
      </w:r>
      <w:r>
        <w:t xml:space="preserve"> </w:t>
      </w:r>
      <w:r>
        <w:t xml:space="preserve">Sablefish, a no fishing reference case, and 15 variations of the current MP</w:t>
      </w:r>
      <w:r>
        <w:t xml:space="preserve"> </w:t>
      </w:r>
      <w:r>
        <w:t xml:space="preserve">that only vary in their at-sea release regulations. The MP variants are</w:t>
      </w:r>
      <w:r>
        <w:t xml:space="preserve"> </w:t>
      </w:r>
      <w:r>
        <w:t xml:space="preserve">constructed by combining 3 features:</w:t>
      </w:r>
    </w:p>
    <w:p>
      <w:pPr>
        <w:pStyle w:val="Compact"/>
        <w:numPr>
          <w:numId w:val="1003"/>
          <w:ilvl w:val="0"/>
        </w:numPr>
      </w:pPr>
      <w:r>
        <w:rPr>
          <w:b/>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b/>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b/>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In this Science Response, MPs are named by concatenating the three at-sea</w:t>
      </w:r>
      <w:r>
        <w:t xml:space="preserve"> </w:t>
      </w:r>
      <w:r>
        <w:t xml:space="preserve">release settings detailed above: CAP_ALLOCATION_AMORTIZATION. For example,</w:t>
      </w:r>
      <w:r>
        <w:t xml:space="preserve"> </w:t>
      </w:r>
      <w:r>
        <w:t xml:space="preserve">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based on the historic (2006-2018),</w:t>
      </w:r>
      <w:r>
        <w:t xml:space="preserve"> </w:t>
      </w:r>
      <w:r>
        <w:t xml:space="preserve">fleet-specific average proportions (</w:t>
      </w:r>
      <w:r>
        <w:rPr>
          <w:b/>
        </w:rPr>
        <w:t xml:space="preserve">hstAl</w:t>
      </w:r>
      <w:r>
        <w:t xml:space="preserve">), and a 5-year amortization</w:t>
      </w:r>
      <w:r>
        <w:t xml:space="preserve"> </w:t>
      </w:r>
      <w:r>
        <w:t xml:space="preserve">period for at-sea release overages (</w:t>
      </w:r>
      <w:r>
        <w:rPr>
          <w:b/>
        </w:rPr>
        <w:t xml:space="preserve">am5</w:t>
      </w:r>
      <w:r>
        <w:t xml:space="preserve">). The two special cases to this</w:t>
      </w:r>
      <w:r>
        <w:t xml:space="preserve"> </w:t>
      </w:r>
      <w:r>
        <w:t xml:space="preserve">naming convention are the current MP (</w:t>
      </w:r>
      <w:r>
        <w:rPr>
          <w:b/>
        </w:rPr>
        <w:t xml:space="preserve">noCap</w:t>
      </w:r>
      <w:r>
        <w:t xml:space="preserve">), which has no cap,</w:t>
      </w:r>
      <w:r>
        <w:t xml:space="preserve"> </w:t>
      </w:r>
      <w:r>
        <w:t xml:space="preserve">and no size limit MP (</w:t>
      </w:r>
      <w:r>
        <w:rPr>
          <w:b/>
        </w:rPr>
        <w:t xml:space="preserve">NSL</w:t>
      </w:r>
      <w:r>
        <w:t xml:space="preserve">), which has no releases (all fish are landed,</w:t>
      </w:r>
      <w:r>
        <w:t xml:space="preserve"> </w:t>
      </w:r>
      <w:r>
        <w:t xml:space="preserve">regardless of size). For 0% caps, only the amortization period for overages</w:t>
      </w:r>
      <w:r>
        <w:t xml:space="preserve"> </w:t>
      </w:r>
      <w:r>
        <w:t xml:space="preserve">would apply (e.g.</w:t>
      </w:r>
      <w:r>
        <w:t xml:space="preserve"> </w:t>
      </w:r>
      <w:r>
        <w:rPr>
          <w:b/>
        </w:rPr>
        <w:t xml:space="preserve">cap0_am5</w:t>
      </w:r>
      <w:r>
        <w:t xml:space="preserve">) with all at-sea releases counted as overages.</w:t>
      </w:r>
    </w:p>
    <w:p>
      <w:pPr>
        <w:pStyle w:val="Heading4"/>
      </w:pPr>
      <w:bookmarkStart w:id="30" w:name="a-worked-example-at-sea-release-regulation-for-cap.5_hstal_am5."/>
      <w:r>
        <w:t xml:space="preserve">A worked example at-sea release regulation for</w:t>
      </w:r>
      <w:r>
        <w:t xml:space="preserve"> </w:t>
      </w:r>
      <w:r>
        <w:rPr>
          <w:b/>
        </w:rPr>
        <w:t xml:space="preserve">cap.5_hstAl_am5</w:t>
      </w:r>
      <w:r>
        <w:t xml:space="preserve">.</w:t>
      </w:r>
      <w:bookmarkEnd w:id="30"/>
    </w:p>
    <w:p>
      <w:pPr>
        <w:pStyle w:val="FirstParagraph"/>
      </w:pPr>
      <w:r>
        <w:t xml:space="preserve">To illustrate how we simulated the implementation of the at-sea release</w:t>
      </w:r>
      <w:r>
        <w:t xml:space="preserve"> </w:t>
      </w:r>
      <w:r>
        <w:t xml:space="preserve">regulations, below we provide the sequence of calculations used to establish</w:t>
      </w:r>
      <w:r>
        <w:t xml:space="preserve"> </w:t>
      </w:r>
      <w:r>
        <w:t xml:space="preserve">annual at-sea release caps and then how they affect future TAC allocations.</w:t>
      </w:r>
      <w:r>
        <w:t xml:space="preserve"> </w:t>
      </w:r>
      <w:r>
        <w:t xml:space="preserve">In the computations below,</w:t>
      </w:r>
      <w:r>
        <w:t xml:space="preserve"> </w:t>
      </w:r>
      <m:oMath>
        <m:r>
          <m:t>t</m:t>
        </m:r>
      </m:oMath>
      <w:r>
        <w:t xml:space="preserve"> </w:t>
      </w:r>
      <w:r>
        <w:t xml:space="preserve">is year,</w:t>
      </w:r>
      <w:r>
        <w:t xml:space="preserve"> </w:t>
      </w:r>
      <m:oMath>
        <m:r>
          <m:t>g</m:t>
        </m:r>
      </m:oMath>
      <w:r>
        <w:t xml:space="preserve"> </w:t>
      </w:r>
      <w:r>
        <w:t xml:space="preserve">is fleet, and</w:t>
      </w:r>
      <w:r>
        <w:t xml:space="preserve"> </w:t>
      </w:r>
      <m:oMath>
        <m:r>
          <m:t>p</m:t>
        </m:r>
        <m:r>
          <m:t>(</m:t>
        </m:r>
        <m:r>
          <m:t>g</m:t>
        </m:r>
        <m:r>
          <m:t>)</m:t>
        </m:r>
      </m:oMath>
      <w:r>
        <w:t xml:space="preserve"> </w:t>
      </w:r>
      <w:r>
        <w:t xml:space="preserve">is proportion</w:t>
      </w:r>
      <w:r>
        <w:t xml:space="preserve"> </w:t>
      </w:r>
      <w:r>
        <w:t xml:space="preserve">of releases allcoated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2006 - 2018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regulations):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(assuming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1" w:name="management-procedure-tuning"/>
      <w:r>
        <w:t xml:space="preserve">Management procedure tuning</w:t>
      </w:r>
      <w:bookmarkEnd w:id="31"/>
    </w:p>
    <w:p>
      <w:pPr>
        <w:pStyle w:val="FirstParagraph"/>
      </w:pPr>
      <w:r>
        <w:t xml:space="preserve">The Sablefish management strategy evaluation considers five primary dimensions</w:t>
      </w:r>
      <w:r>
        <w:t xml:space="preserve"> </w:t>
      </w:r>
      <w:r>
        <w:t xml:space="preserve">of MP performance against objectives. The first three represent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dimensions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objectives while only differing on one. If</w:t>
      </w:r>
      <w:r>
        <w:t xml:space="preserve"> </w:t>
      </w:r>
      <w:r>
        <w:t xml:space="preserve">this were the case, then the decision on which MP is preferred would be</w:t>
      </w:r>
      <w:r>
        <w:t xml:space="preserve"> </w:t>
      </w:r>
      <w:r>
        <w:t xml:space="preserve">straightforward – choose the MP with better performance on the fifth criterion.</w:t>
      </w:r>
      <w:r>
        <w:t xml:space="preserve"> </w:t>
      </w:r>
      <w:r>
        <w:t xml:space="preserve">Unfortunately, MPs typically differ on all 5 dimensions simultaneously, which</w:t>
      </w:r>
      <w:r>
        <w:t xml:space="preserve"> </w:t>
      </w:r>
      <w:r>
        <w:t xml:space="preserve">makes it difficult to compare performance without, at least, establishing some</w:t>
      </w:r>
      <w:r>
        <w:t xml:space="preserve"> </w:t>
      </w:r>
      <w:r>
        <w:t xml:space="preserve">equivalency between conservation probabilities (performance dimensions 1-3) and</w:t>
      </w:r>
      <w:r>
        <w:t xml:space="preserve"> </w:t>
      </w:r>
      <w:r>
        <w:t xml:space="preserve">short-term average catch (performance dimension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Objective 3 would</w:t>
      </w:r>
      <w:r>
        <w:t xml:space="preserve"> </w:t>
      </w:r>
      <w:r>
        <w:t xml:space="preserve">require severe short-term catch restrictions for highly uncertain long-term</w:t>
      </w:r>
      <w:r>
        <w:t xml:space="preserve"> </w:t>
      </w:r>
      <w:r>
        <w:t xml:space="preserve">benefits. Over the past year, the Sablefish industry and DFO Science and</w:t>
      </w:r>
      <w:r>
        <w:t xml:space="preserve"> </w:t>
      </w:r>
      <w:r>
        <w:t xml:space="preserve">Management agreed to revise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5 percentage points could mean a difference of several</w:t>
      </w:r>
      <w:r>
        <w:t xml:space="preserve"> </w:t>
      </w:r>
      <w:r>
        <w:t xml:space="preserve">hundred tonnes in average annual catch, which would cumulatively added up</w:t>
      </w:r>
      <w:r>
        <w:t xml:space="preserve"> </w:t>
      </w:r>
      <w:r>
        <w:t xml:space="preserve">to tens of millions of dollars in revenue. MPs that perform better</w:t>
      </w:r>
      <w:r>
        <w:t xml:space="preserve"> </w:t>
      </w:r>
      <w:r>
        <w:t xml:space="preserve">under Objective 3 almost always do so at the expense of performance</w:t>
      </w:r>
      <w:r>
        <w:t xml:space="preserve"> </w:t>
      </w:r>
      <w:r>
        <w:t xml:space="preserve">under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under</w:t>
      </w:r>
      <w:r>
        <w:t xml:space="preserve"> </w:t>
      </w:r>
      <w:r>
        <w:t xml:space="preserve">consideration meet all the stated conservation objectives. We applied the</w:t>
      </w:r>
      <w:r>
        <w:t xml:space="preserve"> </w:t>
      </w:r>
      <w:r>
        <w:t xml:space="preserve">tuning in a cross test design, where MPs were tuned to meet Objective 3 under</w:t>
      </w:r>
      <w:r>
        <w:t xml:space="preserve"> </w:t>
      </w:r>
      <w:r>
        <w:t xml:space="preserve">both the reference and the robustness OMs, and the performance</w:t>
      </w:r>
      <w:r>
        <w:t xml:space="preserve"> </w:t>
      </w:r>
      <w:r>
        <w:t xml:space="preserve">of tuned MPs on both sets of OMs were reported. This tuning ensured that all MPs</w:t>
      </w:r>
      <w:r>
        <w:t xml:space="preserve"> </w:t>
      </w:r>
      <w:r>
        <w:t xml:space="preserve">met the conservation objectives of the OMs that they were tuned to, and only</w:t>
      </w:r>
      <w:r>
        <w:t xml:space="preserve"> </w:t>
      </w:r>
      <w:r>
        <w:t xml:space="preserve">differed in catch performance on those OM sets. This simplification was needed</w:t>
      </w:r>
      <w:r>
        <w:t xml:space="preserve"> </w:t>
      </w:r>
      <w:r>
        <w:t xml:space="preserve">in the current context, because the at-sea regulations we evaluated had catch</w:t>
      </w:r>
      <w:r>
        <w:t xml:space="preserve"> </w:t>
      </w:r>
      <w:r>
        <w:t xml:space="preserve">and fishing opportunity implications across fishing sectors.</w:t>
      </w:r>
    </w:p>
    <w:p>
      <w:pPr>
        <w:pStyle w:val="BodyText"/>
      </w:pPr>
      <w:r>
        <w:t xml:space="preserve">Tuning was achieved by iteratively adjusting Year 2022 phased-in maximum target</w:t>
      </w:r>
      <w:r>
        <w:t xml:space="preserve"> </w:t>
      </w:r>
      <w:r>
        <w:t xml:space="preserve">fishing mortality rates</w:t>
      </w:r>
      <w:r>
        <w:t xml:space="preserve"> </w:t>
      </w:r>
      <m:oMath>
        <m:sSub>
          <m:e>
            <m:r>
              <m:t>F</m:t>
            </m:r>
          </m:e>
          <m:sub>
            <m:r>
              <m:t>2022</m:t>
            </m:r>
          </m:sub>
        </m:sSub>
      </m:oMath>
      <w:r>
        <w:t xml:space="preserve"> </w:t>
      </w:r>
      <w:r>
        <w:t xml:space="preserve">until each MP met the lower limit of Objective</w:t>
      </w:r>
      <w:r>
        <w:t xml:space="preserve"> </w:t>
      </w:r>
      <w:r>
        <w:t xml:space="preserve">3, i.e.,</w:t>
      </w:r>
      <w:r>
        <w:t xml:space="preserve"> </w:t>
      </w:r>
      <m:oMath>
        <m:r>
          <m:t>P</m:t>
        </m:r>
        <m:r>
          <m:t>(</m:t>
        </m:r>
        <m:sSub>
          <m:e>
            <m:r>
              <m:t>B</m:t>
            </m:r>
          </m:e>
          <m:sub>
            <m:r>
              <m:t>2052</m:t>
            </m:r>
          </m:sub>
        </m:sSub>
        <m:r>
          <m:t>≥</m:t>
        </m:r>
        <m:sSub>
          <m:e>
            <m:r>
              <m:t>B</m:t>
            </m:r>
          </m:e>
          <m:sub>
            <m:r>
              <m:t>M</m:t>
            </m:r>
            <m:r>
              <m:t>S</m:t>
            </m:r>
            <m:r>
              <m:t>Y</m:t>
            </m:r>
          </m:sub>
        </m:sSub>
        <m:r>
          <m:t>)</m:t>
        </m:r>
        <m:r>
          <m:t>=</m:t>
        </m:r>
        <m:r>
          <m:t>0.5</m:t>
        </m:r>
      </m:oMath>
      <w:r>
        <w:t xml:space="preserve">. We tuned the surplus production model</w:t>
      </w:r>
      <w:r>
        <w:t xml:space="preserve"> </w:t>
      </w:r>
      <w:r>
        <w:t xml:space="preserve">MPs separately to the reference OM and</w:t>
      </w:r>
      <w:r>
        <w:t xml:space="preserve"> </w:t>
      </w:r>
      <w:r>
        <w:t xml:space="preserve">robustness OM scenarios, leading to different</w:t>
      </w:r>
      <w:r>
        <w:t xml:space="preserve"> </w:t>
      </w:r>
      <m:oMath>
        <m:sSub>
          <m:e>
            <m:r>
              <m:t>F</m:t>
            </m:r>
          </m:e>
          <m:sub>
            <m:r>
              <m:t>2022</m:t>
            </m:r>
          </m:sub>
        </m:sSub>
      </m:oMath>
      <w:r>
        <w:t xml:space="preserve"> </w:t>
      </w:r>
      <w:r>
        <w:t xml:space="preserve">values under each</w:t>
      </w:r>
      <w:r>
        <w:t xml:space="preserve"> </w:t>
      </w:r>
      <w:r>
        <w:t xml:space="preserve">recruitment scenario. Note that this target maximum harvest rate replaces the</w:t>
      </w:r>
      <w:r>
        <w:t xml:space="preserve"> </w:t>
      </w:r>
      <w:r>
        <w:t xml:space="preserve">final maximum target rate of 5.5% after the 5-year phase-in from 2017</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Heading2"/>
      </w:pPr>
      <w:bookmarkStart w:id="32" w:name="results"/>
      <w:r>
        <w:t xml:space="preserve">Results</w:t>
      </w:r>
      <w:bookmarkEnd w:id="32"/>
    </w:p>
    <w:p>
      <w:pPr>
        <w:pStyle w:val="Heading3"/>
      </w:pPr>
      <w:bookmarkStart w:id="33" w:name="operating-model-update-and-implications-for-stocks-status"/>
      <w:r>
        <w:t xml:space="preserve">Operating model update and implications for stocks status</w:t>
      </w:r>
      <w:bookmarkEnd w:id="33"/>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(2017 and 2018) were substantially higher than the preceding 15 years,</w:t>
      </w:r>
      <w:r>
        <w:t xml:space="preserve"> </w:t>
      </w:r>
      <w:r>
        <w:t xml:space="preserve">suggesting potential increases in the offshore stock biomass (Figure 2).</w:t>
      </w:r>
    </w:p>
    <w:p>
      <w:pPr>
        <w:pStyle w:val="BodyText"/>
      </w:pPr>
      <w:r>
        <w:t xml:space="preserve">In general, the age-structured OM fit the age-composition data</w:t>
      </w:r>
      <w:r>
        <w:t xml:space="preserve"> </w:t>
      </w:r>
      <w:r>
        <w:t xml:space="preserve">reasonably well (Figure 3). Fits to the trap fishery age-composition</w:t>
      </w:r>
      <w:r>
        <w:t xml:space="preserve"> </w:t>
      </w:r>
      <w:r>
        <w:t xml:space="preserve">continued to show a large positive prediction error at the plus-group age 35+,</w:t>
      </w:r>
      <w:r>
        <w:t xml:space="preserve"> </w:t>
      </w:r>
      <w:r>
        <w:t xml:space="preserve">but less so for females than males. The trawl age fits showed a large</w:t>
      </w:r>
      <w:r>
        <w:t xml:space="preserve"> </w:t>
      </w:r>
      <w:r>
        <w:t xml:space="preserve">positive error for age-2 for fish, which appeared to arise from the 2017 and</w:t>
      </w:r>
      <w:r>
        <w:t xml:space="preserve"> </w:t>
      </w:r>
      <w:r>
        <w:t xml:space="preserve">2018 samples that were large and, therefore, tended to drive the average to have</w:t>
      </w:r>
      <w:r>
        <w:t xml:space="preserve"> </w:t>
      </w:r>
      <w:r>
        <w:t xml:space="preserve">what appeared to be a large positive prediction error at age-2. This was</w:t>
      </w:r>
      <w:r>
        <w:t xml:space="preserve"> </w:t>
      </w:r>
      <w:r>
        <w:t xml:space="preserve">a potential contributing factor, or at least contributor to the</w:t>
      </w:r>
      <w:r>
        <w:t xml:space="preserve"> </w:t>
      </w:r>
      <w:r>
        <w:t xml:space="preserve">uncertainty, in the magnitude of the estimated 2015 year-class.</w:t>
      </w:r>
    </w:p>
    <w:p>
      <w:pPr>
        <w:pStyle w:val="BodyText"/>
      </w:pPr>
      <w:r>
        <w:t xml:space="preserve">Model fits to the standardized survey were similar to previous OM versions —</w:t>
      </w:r>
      <w:r>
        <w:t xml:space="preserve"> </w:t>
      </w:r>
      <w:r>
        <w:t xml:space="preserve">patterns lie somewhere between the fishery age-composition fits (worst)</w:t>
      </w:r>
      <w:r>
        <w:t xml:space="preserve"> </w:t>
      </w:r>
      <w:r>
        <w:t xml:space="preserve">and StRS fits (best) (Figures 2 and 3).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8 times the historical average (see</w:t>
      </w:r>
      <w:r>
        <w:t xml:space="preserve"> </w:t>
      </w:r>
      <w:r>
        <w:t xml:space="preserve">Robustness OMs section above; Figure 4, bottom row), which created the</w:t>
      </w:r>
      <w:r>
        <w:t xml:space="preserve"> </w:t>
      </w:r>
      <w:r>
        <w:t xml:space="preserve">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MPs to substantial</w:t>
      </w:r>
      <w:r>
        <w:t xml:space="preserve"> </w:t>
      </w:r>
      <w:r>
        <w:t xml:space="preserve">model changes that arose from a small number of observations. Other</w:t>
      </w:r>
      <w:r>
        <w:t xml:space="preserve"> </w:t>
      </w:r>
      <w:r>
        <w:t xml:space="preserve">Pacific groundfish fisheries (e.g., Pacific Hake [</w:t>
      </w:r>
      <w:r>
        <w:rPr>
          <w:i/>
        </w:rPr>
        <w:t xml:space="preserve">Merluccius productus</w:t>
      </w:r>
      <w:r>
        <w:t xml:space="preserve">]</w:t>
      </w:r>
      <w:r>
        <w:t xml:space="preserve"> </w:t>
      </w:r>
      <w:r>
        <w:t xml:space="preserve">and Gulf of Alaska Sablefish) have treated initial large estimated</w:t>
      </w:r>
      <w:r>
        <w:t xml:space="preserve"> </w:t>
      </w:r>
      <w:r>
        <w:t xml:space="preserve">recruitments with caution until the data used to estimate them</w:t>
      </w:r>
      <w:r>
        <w:t xml:space="preserve"> </w:t>
      </w:r>
      <w:r>
        <w:t xml:space="preserve">more fully materialize. Here, we dealt with the uncertainty in 2015</w:t>
      </w:r>
      <w:r>
        <w:t xml:space="preserve"> </w:t>
      </w:r>
      <w:r>
        <w:t xml:space="preserve">year-class size by developing reference (using age-3 data) and</w:t>
      </w:r>
      <w:r>
        <w:t xml:space="preserve"> </w:t>
      </w:r>
      <w:r>
        <w:t xml:space="preserve">robustness (ignoring age-3 data) OMs for use in evaluating</w:t>
      </w:r>
      <w:r>
        <w:t xml:space="preserve"> </w:t>
      </w:r>
      <w:r>
        <w:t xml:space="preserve">MPs.</w:t>
      </w:r>
    </w:p>
    <w:p>
      <w:pPr>
        <w:pStyle w:val="BodyText"/>
      </w:pPr>
      <w:r>
        <w:t xml:space="preserve">Under the large 2015 year class, the OM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from 2016 to 2018, increasing</w:t>
      </w:r>
      <w:r>
        <w:t xml:space="preserve"> </w:t>
      </w:r>
      <w:r>
        <w:t xml:space="preserve">from 93% (2016 fit) to 100% (2018 fit).</w:t>
      </w:r>
    </w:p>
    <w:p>
      <w:pPr>
        <w:pStyle w:val="Heading3"/>
      </w:pPr>
      <w:bookmarkStart w:id="34" w:name="management-procedure-evaluation-results"/>
      <w:r>
        <w:t xml:space="preserve">Management procedure evaluation results</w:t>
      </w:r>
      <w:bookmarkEnd w:id="34"/>
    </w:p>
    <w:p>
      <w:pPr>
        <w:pStyle w:val="Heading4"/>
      </w:pPr>
      <w:bookmarkStart w:id="35" w:name="reference-om-set-under-reference-f_2022-tuning"/>
      <w:r>
        <w:t xml:space="preserve">Reference OM set under reference</w:t>
      </w:r>
      <w:r>
        <w:t xml:space="preserve"> </w:t>
      </w:r>
      <m:oMath>
        <m:sSub>
          <m:e>
            <m:r>
              <m:t>F</m:t>
            </m:r>
          </m:e>
          <m:sub>
            <m:r>
              <m:t>2022</m:t>
            </m:r>
          </m:sub>
        </m:sSub>
      </m:oMath>
      <w:r>
        <w:t xml:space="preserve"> </w:t>
      </w:r>
      <w:r>
        <w:t xml:space="preserve">tuning</w:t>
      </w:r>
      <w:bookmarkEnd w:id="35"/>
    </w:p>
    <w:p>
      <w:pPr>
        <w:pStyle w:val="FirstParagraph"/>
      </w:pPr>
      <w:r>
        <w:t xml:space="preserve">As expected, recruitment from the 2015 year class was the primary driver</w:t>
      </w:r>
      <w:r>
        <w:t xml:space="preserve"> </w:t>
      </w:r>
      <w:r>
        <w:t xml:space="preserve">of projected spawning biomass and fishery outcomes in the reference OM simulations.</w:t>
      </w:r>
      <w:r>
        <w:t xml:space="preserve"> </w:t>
      </w:r>
      <w:r>
        <w:t xml:space="preserve">Spawning biomass increased rapidly over</w:t>
      </w:r>
      <w:r>
        <w:t xml:space="preserve"> </w:t>
      </w:r>
      <w:r>
        <w:t xml:space="preserve">the first 5 years of the projection period as age-3 (i.e., 2015</w:t>
      </w:r>
      <w:r>
        <w:t xml:space="preserve"> </w:t>
      </w:r>
      <w:r>
        <w:t xml:space="preserve">year class) fish became fully recruited to the fisheries and then the</w:t>
      </w:r>
      <w:r>
        <w:t xml:space="preserve"> </w:t>
      </w:r>
      <w:r>
        <w:t xml:space="preserve">spawning biomass (Figures 4 and 5, top row). Spawning biomass then trended</w:t>
      </w:r>
      <w:r>
        <w:t xml:space="preserve"> </w:t>
      </w:r>
      <w:r>
        <w:t xml:space="preserve">downward toward</w:t>
      </w:r>
      <w:r>
        <w:t xml:space="preserve"> </w:t>
      </w:r>
      <m:oMath>
        <m:sSub>
          <m:e>
            <m:r>
              <m:t>B</m:t>
            </m:r>
          </m:e>
          <m:sub>
            <m:r>
              <m:t>M</m:t>
            </m:r>
            <m:r>
              <m:t>S</m:t>
            </m:r>
            <m:r>
              <m:t>Y</m:t>
            </m:r>
          </m:sub>
        </m:sSub>
      </m:oMath>
      <w:r>
        <w:t xml:space="preserve"> </w:t>
      </w:r>
      <w:r>
        <w:t xml:space="preserve">over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conservation criteria</w:t>
      </w:r>
      <w:r>
        <w:t xml:space="preserve"> </w:t>
      </w:r>
      <w:r>
        <w:t xml:space="preserve">defined by Objectives 1-3 (Table 2). All tuned MPs were able to meet</w:t>
      </w:r>
      <w:r>
        <w:t xml:space="preserve"> </w:t>
      </w:r>
      <w:r>
        <w:t xml:space="preserve">Objective 3, where 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and then maintain the stock at that level,</w:t>
      </w:r>
      <w:r>
        <w:t xml:space="preserve"> </w:t>
      </w:r>
      <w:r>
        <w:t xml:space="preserve">while others were projected to just make</w:t>
      </w:r>
      <w:r>
        <w:t xml:space="preserve"> </w:t>
      </w:r>
      <m:oMath>
        <m:sSub>
          <m:e>
            <m:r>
              <m:t>B</m:t>
            </m:r>
          </m:e>
          <m:sub>
            <m:r>
              <m:t>M</m:t>
            </m:r>
            <m:r>
              <m:t>S</m:t>
            </m:r>
            <m:r>
              <m:t>Y</m:t>
            </m:r>
          </m:sub>
        </m:sSub>
      </m:oMath>
      <w:r>
        <w:t xml:space="preserve"> </w:t>
      </w:r>
      <w:r>
        <w:t xml:space="preserve">by the final year.</w:t>
      </w:r>
      <w:r>
        <w:t xml:space="preserve"> </w:t>
      </w:r>
      <w:r>
        <w:t xml:space="preserve">The probability of catch falling below the 1,992 t floor (Objective 4)</w:t>
      </w:r>
      <w:r>
        <w:t xml:space="preserve"> </w:t>
      </w:r>
      <w:r>
        <w:t xml:space="preserve">was 2% or less across all MPs (Table 2).</w:t>
      </w:r>
    </w:p>
    <w:p>
      <w:pPr>
        <w:pStyle w:val="BodyText"/>
      </w:pPr>
      <w:r>
        <w:t xml:space="preserve">Tuning MPs to meet Objectives 1-3, and specifically</w:t>
      </w:r>
      <w:r>
        <w:t xml:space="preserve"> </w:t>
      </w:r>
      <w:r>
        <w:t xml:space="preserve">treating Objective 3 as a target, focuses MP performance</w:t>
      </w:r>
      <w:r>
        <w:t xml:space="preserve"> </w:t>
      </w:r>
      <w:r>
        <w:t xml:space="preserve">differences on average annual catch over the next 10 years (Table 2; Objective</w:t>
      </w:r>
      <w:r>
        <w:t xml:space="preserve"> </w:t>
      </w:r>
      <w:r>
        <w:t xml:space="preserve">5). As expected, MPs with more restricted at-sea release</w:t>
      </w:r>
      <w:r>
        <w:t xml:space="preserve"> </w:t>
      </w:r>
      <w:r>
        <w:t xml:space="preserve">regulations ranked higher in terms of 10-year average catch (Table 2)</w:t>
      </w:r>
      <w:r>
        <w:t xml:space="preserve"> </w:t>
      </w:r>
      <w:r>
        <w:t xml:space="preserve">with the values ranging from 4,510 t per year for no size limit (</w:t>
      </w:r>
      <w:r>
        <w:rPr>
          <w:b/>
        </w:rPr>
        <w:t xml:space="preserve">NSL</w:t>
      </w:r>
      <w:r>
        <w:t xml:space="preserve">)</w:t>
      </w:r>
      <w:r>
        <w:t xml:space="preserve"> </w:t>
      </w:r>
      <w:r>
        <w:t xml:space="preserve">to 3,700 t per year for regulations with a cap 150% higher than average,</w:t>
      </w:r>
      <w:r>
        <w:t xml:space="preserve"> </w:t>
      </w:r>
      <w:r>
        <w:t xml:space="preserve">recent cap 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results in less mortality</w:t>
      </w:r>
      <w:r>
        <w:t xml:space="preserve"> </w:t>
      </w:r>
      <w:r>
        <w:t xml:space="preserve">of sub-legal fish over all fleets. This led to a large reduction in</w:t>
      </w:r>
      <w:r>
        <w:t xml:space="preserve"> </w:t>
      </w:r>
      <w:r>
        <w:t xml:space="preserve">growth overfishing for the no size limit regulation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Objective 3. In contrast, the no</w:t>
      </w:r>
      <w:r>
        <w:t xml:space="preserve"> </w:t>
      </w:r>
      <w:r>
        <w:t xml:space="preserve">size limit MP met Objective 3 despite a maximum target</w:t>
      </w:r>
      <w:r>
        <w:t xml:space="preserve"> </w:t>
      </w:r>
      <m:oMath>
        <m:r>
          <m:t>F</m:t>
        </m:r>
        <m:r>
          <m:t>=</m:t>
        </m:r>
        <m:r>
          <m:t>7.4</m:t>
        </m:r>
        <m:r>
          <m:t>%</m:t>
        </m:r>
      </m:oMath>
      <w:r>
        <w:t xml:space="preserve">/yr on legal-sized fish (Table 2;</w:t>
      </w:r>
      <w:r>
        <w:t xml:space="preserve"> </w:t>
      </w:r>
      <m:oMath>
        <m:sSub>
          <m:e>
            <m:r>
              <m:t>F</m:t>
            </m:r>
          </m:e>
          <m:sub>
            <m:r>
              <m:t>2022</m:t>
            </m:r>
          </m:sub>
        </m:sSub>
      </m:oMath>
      <w:r>
        <w:t xml:space="preserve">).</w:t>
      </w:r>
    </w:p>
    <w:p>
      <w:pPr>
        <w:pStyle w:val="BodyText"/>
      </w:pPr>
      <w:r>
        <w:t xml:space="preserve">Differences in average annual catch were smaller among at-sea regulation</w:t>
      </w:r>
      <w:r>
        <w:t xml:space="preserve"> </w:t>
      </w:r>
      <w:r>
        <w:t xml:space="preserve">options that involved a size limit. A 0% at sea-release cap and 5 year</w:t>
      </w:r>
      <w:r>
        <w:t xml:space="preserve"> </w:t>
      </w:r>
      <w:r>
        <w:t xml:space="preserve">amortization (MP17) resulted in catches about 400 t higher than the</w:t>
      </w:r>
      <w:r>
        <w:t xml:space="preserve"> </w:t>
      </w:r>
      <w:r>
        <w:t xml:space="preserve">current MP (MP15; Table 2), while the gain was 300 t for a 10 year</w:t>
      </w:r>
      <w:r>
        <w:t xml:space="preserve"> </w:t>
      </w:r>
      <w:r>
        <w:t xml:space="preserve">amortization (MP16).</w:t>
      </w:r>
    </w:p>
    <w:p>
      <w:pPr>
        <w:pStyle w:val="BodyText"/>
      </w:pPr>
      <w:r>
        <w:t xml:space="preserve">An at-sea release cap of 50% of the historical average resulted in average</w:t>
      </w:r>
      <w:r>
        <w:t xml:space="preserve"> </w:t>
      </w:r>
      <w:r>
        <w:t xml:space="preserve">annual catch levels approximately ranging between 160 t and 300 t</w:t>
      </w:r>
      <w:r>
        <w:t xml:space="preserve"> </w:t>
      </w:r>
      <w:r>
        <w:t xml:space="preserve">higher than the current MP, depending on the allocation</w:t>
      </w:r>
      <w:r>
        <w:t xml:space="preserve"> </w:t>
      </w:r>
      <w:r>
        <w:t xml:space="preserve">and the amortization period (MP3 and MP5 vs. MP15; Table 2). Interestingly,</w:t>
      </w:r>
      <w:r>
        <w:t xml:space="preserve"> </w:t>
      </w:r>
      <w:r>
        <w:t xml:space="preserve">a 10 year amortization with a 0% cap resulted in a 10-year average catch</w:t>
      </w:r>
      <w:r>
        <w:t xml:space="preserve"> </w:t>
      </w:r>
      <w:r>
        <w:t xml:space="preserve">that was identical to that of a 50% cap with a historical allocation and</w:t>
      </w:r>
      <w:r>
        <w:t xml:space="preserve"> </w:t>
      </w:r>
      <w:r>
        <w:t xml:space="preserve">5 year amortization period (MP 3 vs MP16; Table 2).</w:t>
      </w:r>
    </w:p>
    <w:p>
      <w:pPr>
        <w:pStyle w:val="BodyText"/>
      </w:pPr>
      <w:r>
        <w:t xml:space="preserve">An at-sea release cap equal to 100% of the historical average also produced</w:t>
      </w:r>
      <w:r>
        <w:t xml:space="preserve"> </w:t>
      </w:r>
      <w:r>
        <w:t xml:space="preserve">200 t more average annual catch than the current MP, as long as the</w:t>
      </w:r>
      <w:r>
        <w:t xml:space="preserve"> </w:t>
      </w:r>
      <w:r>
        <w:t xml:space="preserve">cap was allocated according to the historical at-sea release proportions</w:t>
      </w:r>
      <w:r>
        <w:t xml:space="preserve"> </w:t>
      </w:r>
      <w:r>
        <w:t xml:space="preserve">and amortized over 5 years (MP5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 10 vs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(low</w:t>
      </w:r>
      <w:r>
        <w:t xml:space="preserve"> </w:t>
      </w:r>
      <w:r>
        <w:t xml:space="preserve">caps) to 10 years being better (high caps). Although the differences</w:t>
      </w:r>
      <w:r>
        <w:t xml:space="preserve"> </w:t>
      </w:r>
      <w:r>
        <w:t xml:space="preserve">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any overages spread over the longer period have less</w:t>
      </w:r>
      <w:r>
        <w:t xml:space="preserve"> </w:t>
      </w:r>
      <w:r>
        <w:t xml:space="preserve">impact on annual TAC adjustments.</w:t>
      </w:r>
    </w:p>
    <w:p>
      <w:pPr>
        <w:pStyle w:val="BodyText"/>
      </w:pPr>
      <w:r>
        <w:t xml:space="preserve">We initially expected that a no size limit and/or lower cap regulations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 Indeed, the average revenue per</w:t>
      </w:r>
      <w:r>
        <w:t xml:space="preserve"> </w:t>
      </w:r>
      <w:r>
        <w:t xml:space="preserve">tonne was approximately $170 lower for a no size limit trap fishery</w:t>
      </w:r>
      <w:r>
        <w:t xml:space="preserve"> </w:t>
      </w:r>
      <w:r>
        <w:t xml:space="preserve">compared to any of the other at-sea</w:t>
      </w:r>
      <w:r>
        <w:t xml:space="preserve"> </w:t>
      </w:r>
      <w:r>
        <w:t xml:space="preserve">release regulations (Table 4), while revenue was approximately $20</w:t>
      </w:r>
      <w:r>
        <w:t xml:space="preserve"> </w:t>
      </w:r>
      <w:r>
        <w:t xml:space="preserve">and $90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Cumulative revenues over ten years were</w:t>
      </w:r>
      <w:r>
        <w:t xml:space="preserve"> </w:t>
      </w:r>
      <w:r>
        <w:t xml:space="preserve">$47 million, $18 million, and $15 million higher for trap, longline</w:t>
      </w:r>
      <w:r>
        <w:t xml:space="preserve"> </w:t>
      </w:r>
      <w:r>
        <w:t xml:space="preserve">hook, and trawl fisheries under no size limit fishery compared to</w:t>
      </w:r>
      <w:r>
        <w:t xml:space="preserve"> </w:t>
      </w:r>
      <w:r>
        <w:t xml:space="preserve">the next best average annual catch regulation option (i.e., MP17,</w:t>
      </w:r>
      <w:r>
        <w:t xml:space="preserve"> </w:t>
      </w:r>
      <w:r>
        <w:rPr>
          <w:b/>
        </w:rPr>
        <w:t xml:space="preserve">cap0_am5</w:t>
      </w:r>
      <w:r>
        <w:t xml:space="preserve">; Table 4).</w:t>
      </w:r>
    </w:p>
    <w:p>
      <w:pPr>
        <w:pStyle w:val="BodyText"/>
      </w:pPr>
      <w:r>
        <w:t xml:space="preserve">The next best at-sea release regulation, from a total catch and</w:t>
      </w:r>
      <w:r>
        <w:t xml:space="preserve"> </w:t>
      </w:r>
      <w:r>
        <w:t xml:space="preserve">cumulative revenue perspective, after the no size limit MP</w:t>
      </w:r>
      <w:r>
        <w:t xml:space="preserve"> </w:t>
      </w:r>
      <w:r>
        <w:t xml:space="preserve">were different between trap and longline hook fisheries and trawl.</w:t>
      </w:r>
      <w:r>
        <w:t xml:space="preserve"> </w:t>
      </w:r>
      <w:r>
        <w:t xml:space="preserve">For instance, as noted above, MP17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regulations while trawl would benefit from the</w:t>
      </w:r>
      <w:r>
        <w:t xml:space="preserve"> </w:t>
      </w:r>
      <w:r>
        <w:t xml:space="preserve">least restrictive at-sea regulations other than the status quo, even</w:t>
      </w:r>
      <w:r>
        <w:t xml:space="preserve"> </w:t>
      </w:r>
      <w:r>
        <w:t xml:space="preserve">without considering the implications for trawl’s main target fisheries.</w:t>
      </w:r>
    </w:p>
    <w:p>
      <w:pPr>
        <w:pStyle w:val="Heading4"/>
      </w:pPr>
      <w:bookmarkStart w:id="36" w:name="robustness-om-set-under-robustness-f_2022-tuning"/>
      <w:r>
        <w:t xml:space="preserve">Robustness OM set under robustness</w:t>
      </w:r>
      <w:r>
        <w:t xml:space="preserve"> </w:t>
      </w:r>
      <m:oMath>
        <m:sSub>
          <m:e>
            <m:r>
              <m:t>F</m:t>
            </m:r>
          </m:e>
          <m:sub>
            <m:r>
              <m:t>2022</m:t>
            </m:r>
          </m:sub>
        </m:sSub>
      </m:oMath>
      <w:r>
        <w:t xml:space="preserve"> </w:t>
      </w:r>
      <w:r>
        <w:t xml:space="preserve">tuning</w:t>
      </w:r>
      <w:bookmarkEnd w:id="36"/>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conservation objectives (Figures 6 and 7). In fact, these simulations closely</w:t>
      </w:r>
      <w:r>
        <w:t xml:space="preserve"> </w:t>
      </w:r>
      <w:r>
        <w:t xml:space="preserve">resemble previous Sablefish MSE results, which suggested that relatively</w:t>
      </w:r>
      <w:r>
        <w:t xml:space="preserve"> </w:t>
      </w:r>
      <w:r>
        <w:t xml:space="preserve">conservative harvest strategies are needed over the long-term to meet</w:t>
      </w:r>
      <w:r>
        <w:t xml:space="preserve"> </w:t>
      </w:r>
      <w:r>
        <w:t xml:space="preserve">the conservation objectives</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a higher probability of catches</w:t>
      </w:r>
      <w:r>
        <w:t xml:space="preserve"> </w:t>
      </w:r>
      <w:r>
        <w:t xml:space="preserve">less than the 1,992 t (Objective 4); whereas these were</w:t>
      </w:r>
      <w:r>
        <w:t xml:space="preserve"> </w:t>
      </w:r>
      <w:r>
        <w:t xml:space="preserve">negligible (&lt; 3%) in the reference OMs, they were all greater than</w:t>
      </w:r>
      <w:r>
        <w:t xml:space="preserve"> </w:t>
      </w:r>
      <w:r>
        <w:t xml:space="preserve">15% in the robustness OMs except under the no size limit MP,</w:t>
      </w:r>
      <w:r>
        <w:t xml:space="preserve"> </w:t>
      </w:r>
      <w:r>
        <w:t xml:space="preserve">which was 8% (Table 5).</w:t>
      </w:r>
    </w:p>
    <w:p>
      <w:pPr>
        <w:pStyle w:val="BodyText"/>
      </w:pPr>
      <w:r>
        <w:t xml:space="preserve">Average annual catch under the robustness OMs ranged from 2,305 t under the</w:t>
      </w:r>
      <w:r>
        <w:t xml:space="preserve"> </w:t>
      </w:r>
      <w:r>
        <w:t xml:space="preserve">current MP (MP15, noCap) to 2,767 t under no size limit (MP14, NSL). Thus,</w:t>
      </w:r>
      <w:r>
        <w:t xml:space="preserve"> </w:t>
      </w:r>
      <w:r>
        <w:t xml:space="preserve">the current MP with no limit on at-sea releases performed worse than any</w:t>
      </w:r>
      <w:r>
        <w:t xml:space="preserve"> </w:t>
      </w:r>
      <w:r>
        <w:t xml:space="preserve">of the cap 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compared to the reference OMs, although the absolute</w:t>
      </w:r>
      <w:r>
        <w:t xml:space="preserve"> </w:t>
      </w:r>
      <w:r>
        <w:t xml:space="preserve">difference among most MPs was small.</w:t>
      </w:r>
    </w:p>
    <w:p>
      <w:pPr>
        <w:pStyle w:val="BodyText"/>
      </w:pPr>
      <w:r>
        <w:t xml:space="preserve">Average annual variation in catch (AAV) was 11-16% under the robustness</w:t>
      </w:r>
      <w:r>
        <w:t xml:space="preserve"> </w:t>
      </w:r>
      <w:r>
        <w:t xml:space="preserve">OMs compared to 7-8% under the reference OMs (Table 5). This probably</w:t>
      </w:r>
      <w:r>
        <w:t xml:space="preserve"> </w:t>
      </w:r>
      <w:r>
        <w:t xml:space="preserve">occurs because the stock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(Table 6).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regulation</w:t>
      </w:r>
      <w:r>
        <w:t xml:space="preserve"> </w:t>
      </w:r>
      <w:r>
        <w:t xml:space="preserve">option, from a cumulative revenue perspective, was the most restrictive</w:t>
      </w:r>
      <w:r>
        <w:t xml:space="preserve"> </w:t>
      </w:r>
      <w:r>
        <w:t xml:space="preserve">for trawl and next-most-restrictive for trap and longline hook (MP17,</w:t>
      </w:r>
      <w:r>
        <w:t xml:space="preserve"> </w:t>
      </w:r>
      <w:r>
        <w:rPr>
          <w:b/>
        </w:rPr>
        <w:t xml:space="preserve">cap0_am5</w:t>
      </w:r>
      <w:r>
        <w:t xml:space="preserve">; Table 6).</w:t>
      </w:r>
    </w:p>
    <w:p>
      <w:pPr>
        <w:pStyle w:val="Heading4"/>
      </w:pPr>
      <w:bookmarkStart w:id="37" w:name="cross-tests-of-oms-under-opposite-f_2022-tuning"/>
      <w:r>
        <w:t xml:space="preserve">Cross tests of OMs under opposite</w:t>
      </w:r>
      <w:r>
        <w:t xml:space="preserve"> </w:t>
      </w:r>
      <m:oMath>
        <m:sSub>
          <m:e>
            <m:r>
              <m:t>F</m:t>
            </m:r>
          </m:e>
          <m:sub>
            <m:r>
              <m:t>2022</m:t>
            </m:r>
          </m:sub>
        </m:sSub>
      </m:oMath>
      <w:r>
        <w:t xml:space="preserve"> </w:t>
      </w:r>
      <w:r>
        <w:t xml:space="preserve">tuning</w:t>
      </w:r>
      <w:bookmarkEnd w:id="37"/>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conservation</w:t>
      </w:r>
      <w:r>
        <w:t xml:space="preserve"> </w:t>
      </w:r>
      <w:r>
        <w:t xml:space="preserve">objectives under the reference OMs, but the 2015 year class</w:t>
      </w:r>
      <w:r>
        <w:t xml:space="preserve"> </w:t>
      </w:r>
      <w:r>
        <w:t xml:space="preserve">failed to materialise as in the robustness OMs, almost all MPs failed to meet</w:t>
      </w:r>
      <w:r>
        <w:t xml:space="preserve"> </w:t>
      </w:r>
      <w:r>
        <w:t xml:space="preserve">the performance criteria for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conservation objectives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conservation Objectives 1 - 3 (Table 8). This more risk averse</w:t>
      </w:r>
      <w:r>
        <w:t xml:space="preserve"> </w:t>
      </w:r>
      <w:r>
        <w:t xml:space="preserve">strategy (from a biological perspective) comes with the cost of</w:t>
      </w:r>
      <w:r>
        <w:t xml:space="preserve"> </w:t>
      </w:r>
      <w:r>
        <w:t xml:space="preserve">reduced average annual catch of approximately 300 t for all MPs,</w:t>
      </w:r>
      <w:r>
        <w:t xml:space="preserve"> </w:t>
      </w:r>
      <w:r>
        <w:t xml:space="preserve">or 6.5-8% of the reference-tuned catch.</w:t>
      </w:r>
    </w:p>
    <w:p>
      <w:pPr>
        <w:pStyle w:val="Heading1"/>
      </w:pPr>
      <w:bookmarkStart w:id="38" w:name="conclusions"/>
      <w:r>
        <w:t xml:space="preserve">Conclusions</w:t>
      </w:r>
      <w:bookmarkEnd w:id="38"/>
    </w:p>
    <w:p>
      <w:pPr>
        <w:pStyle w:val="FirstParagraph"/>
      </w:pPr>
      <w:r>
        <w:t xml:space="preserve">The current MP for Canadian Sablefish (MP15,</w:t>
      </w:r>
      <w:r>
        <w:t xml:space="preserve"> </w:t>
      </w:r>
      <w:r>
        <w:rPr>
          <w:b/>
        </w:rPr>
        <w:t xml:space="preserve">noCap</w:t>
      </w:r>
      <w:r>
        <w:t xml:space="preserve">), which includes no</w:t>
      </w:r>
      <w:r>
        <w:t xml:space="preserve"> </w:t>
      </w:r>
      <w:r>
        <w:t xml:space="preserve">limits on at-sea releases, was able to meet conservation objectives under both</w:t>
      </w:r>
      <w:r>
        <w:t xml:space="preserve"> </w:t>
      </w:r>
      <w:r>
        <w:t xml:space="preserve">reference and robustness OMs, although it ranked near the bottom in terms</w:t>
      </w:r>
      <w:r>
        <w:t xml:space="preserve"> </w:t>
      </w:r>
      <w:r>
        <w:t xml:space="preserve">of catch performance compared to MPs with at-sea release regulations. Of</w:t>
      </w:r>
      <w:r>
        <w:t xml:space="preserve"> </w:t>
      </w:r>
      <w:r>
        <w:t xml:space="preserve">the MPs regulating at-sea releases, MP14 (no size limit),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conservation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conservation objectives in both the short- and long-term</w:t>
      </w:r>
      <w:r>
        <w:t xml:space="preserve"> </w:t>
      </w:r>
      <w:r>
        <w:t xml:space="preserve">(actually, 100% avoidance would be superior to NSL, but we did</w:t>
      </w:r>
      <w:r>
        <w:t xml:space="preserve"> </w:t>
      </w:r>
      <w:r>
        <w:t xml:space="preserve">not include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 nor did we</w:t>
      </w:r>
      <w:r>
        <w:t xml:space="preserve"> </w:t>
      </w:r>
      <w:r>
        <w:t xml:space="preserve">consider the consequences of these MPs for the fisheries</w:t>
      </w:r>
      <w:r>
        <w:t xml:space="preserve"> </w:t>
      </w:r>
      <w:r>
        <w:t xml:space="preserve">in targeting other species in the integrated groundfish</w:t>
      </w:r>
      <w:r>
        <w:t xml:space="preserve"> </w:t>
      </w:r>
      <w:r>
        <w:t xml:space="preserve">fishery in BC.</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only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conservation objectives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those achieved in</w:t>
      </w:r>
      <w:r>
        <w:t xml:space="preserve"> </w:t>
      </w:r>
      <w:r>
        <w:t xml:space="preserve">recent years.</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9" w:name="contributors"/>
      <w:r>
        <w:t xml:space="preserve">Contributors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 Landmark Fisheries Research</w:t>
            </w:r>
          </w:p>
        </w:tc>
      </w:tr>
      <w:tr>
        <w:tc>
          <w:p>
            <w:pPr>
              <w:pStyle w:val="Compact"/>
              <w:jc w:val="left"/>
            </w:pPr>
            <w:r>
              <w:t xml:space="preserve">Samuel Johnson</w:t>
            </w:r>
          </w:p>
        </w:tc>
        <w:tc>
          <w:p>
            <w:pPr>
              <w:pStyle w:val="Compact"/>
              <w:jc w:val="left"/>
            </w:pPr>
            <w:r>
              <w:t xml:space="preserve">Simon Fraser University, BC; Landmark Fisheries Research</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Fisheries Management,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Elise Keppel</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40" w:name="sources-of-information"/>
      <w:r>
        <w:t xml:space="preserve">Sources of information</w:t>
      </w:r>
      <w:bookmarkEnd w:id="40"/>
    </w:p>
    <w:bookmarkStart w:id="53" w:name="refs"/>
    <w:bookmarkStart w:id="41"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1"/>
    <w:bookmarkStart w:id="42" w:name="ref-cox2009evaluation"/>
    <w:p>
      <w:pPr>
        <w:pStyle w:val="BodyText"/>
      </w:pPr>
      <w:r>
        <w:t xml:space="preserve">Cox, S., and Kronlund, A. 2009. Evaluation of interim harvest strategies for Sablefish (</w:t>
      </w:r>
      <w:r>
        <w:rPr>
          <w:i/>
        </w:rPr>
        <w:t xml:space="preserve">Anoplopoma fimbria</w:t>
      </w:r>
      <w:r>
        <w:t xml:space="preserve">) in British Columbia, Canada for 2008/09. DFO Can. Sci. Advis. Sec. Res. Doc 42.</w:t>
      </w:r>
    </w:p>
    <w:bookmarkEnd w:id="42"/>
    <w:bookmarkStart w:id="43" w:name="ref-cox2011management"/>
    <w:p>
      <w:pPr>
        <w:pStyle w:val="BodyText"/>
      </w:pPr>
      <w:r>
        <w:t xml:space="preserve">Cox, S., Kronlund, A., and Lacko, L. 2011. Management procedures for the multi-gear Sablefish (</w:t>
      </w:r>
      <w:r>
        <w:rPr>
          <w:i/>
        </w:rPr>
        <w:t xml:space="preserve">Anoplopoma fimbria</w:t>
      </w:r>
      <w:r>
        <w:t xml:space="preserve">) fishery in British Columbia, Canada. Can. Sci. Advis. Secret. Res. Doc 62.</w:t>
      </w:r>
    </w:p>
    <w:bookmarkEnd w:id="43"/>
    <w:bookmarkStart w:id="44" w:name="ref-cox2008practical"/>
    <w:p>
      <w:pPr>
        <w:pStyle w:val="BodyText"/>
      </w:pPr>
      <w:r>
        <w:t xml:space="preserve">Cox, S.P., and Kronlund, A.R. 2008. Practical stakeholder-driven harvest policies for groundfish fisheries in british columbia, canada. Fisheries Research 94(3): 224–237. Elsevier.</w:t>
      </w:r>
    </w:p>
    <w:bookmarkEnd w:id="44"/>
    <w:bookmarkStart w:id="45" w:name="ref-cox2013roles"/>
    <w:p>
      <w:pPr>
        <w:pStyle w:val="BodyText"/>
      </w:pPr>
      <w:r>
        <w:t xml:space="preserve">Cox, S.P., Kronlund, A.R., and Benson, A.J. 2013. The roles of biological reference points and operational control points in management procedures for the Sablefish (</w:t>
      </w:r>
      <w:r>
        <w:rPr>
          <w:i/>
        </w:rPr>
        <w:t xml:space="preserve">Anoplopoma fimbria</w:t>
      </w:r>
      <w:r>
        <w:t xml:space="preserve">) fishery in British Columbia, Canada. Environmental Conservation 40(4): 318–328.</w:t>
      </w:r>
    </w:p>
    <w:bookmarkEnd w:id="45"/>
    <w:bookmarkStart w:id="46" w:name="ref-DFO2006A-Harvest-Strat"/>
    <w:p>
      <w:pPr>
        <w:pStyle w:val="BodyText"/>
      </w:pPr>
      <w:r>
        <w:t xml:space="preserve">DFO. 2006. A Harvest Strategy Compliant with the Precautionary Approach. DFO Can. Sci. Advis. Rep.</w:t>
      </w:r>
    </w:p>
    <w:bookmarkEnd w:id="46"/>
    <w:bookmarkStart w:id="47" w:name="ref-dfo2014performanc"/>
    <w:p>
      <w:pPr>
        <w:pStyle w:val="BodyText"/>
      </w:pPr>
      <w:r>
        <w:t xml:space="preserve">DFO. 2014. Performance of a revised management procedure for Sablefish in British Columbia. Can. Sci. Adv. Sec. Res. Doc (025).</w:t>
      </w:r>
    </w:p>
    <w:bookmarkEnd w:id="47"/>
    <w:bookmarkStart w:id="48"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8"/>
    <w:bookmarkStart w:id="49"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9"/>
    <w:bookmarkStart w:id="50"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50"/>
    <w:bookmarkStart w:id="51" w:name="ref-richards1992statistical"/>
    <w:p>
      <w:pPr>
        <w:pStyle w:val="BodyText"/>
      </w:pPr>
      <w:r>
        <w:t xml:space="preserve">Richards, L.J., Schnute, J.T., Kronlund, A., and Beamish, R.J. 1992. Statistical models for the analysis of ageing error. Canadian Journal of Fisheries and Aquatic Sciences 49(9): 1801–1815.</w:t>
      </w:r>
    </w:p>
    <w:bookmarkEnd w:id="51"/>
    <w:bookmarkStart w:id="52"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2"/>
    <w:bookmarkEnd w:id="53"/>
    <w:p>
      <w:pPr>
        <w:pStyle w:val="Heading1"/>
      </w:pPr>
      <w:bookmarkStart w:id="54" w:name="tables"/>
      <w:r>
        <w:t xml:space="preserve">Tables</w:t>
      </w:r>
      <w:bookmarkEnd w:id="54"/>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55" w:name="figures"/>
      <w:r>
        <w:t xml:space="preserve">Figures</w:t>
      </w:r>
      <w:bookmarkEnd w:id="55"/>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6"/>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Heading1"/>
      </w:pPr>
      <w:bookmarkStart w:id="61" w:name="appendices"/>
      <w:r>
        <w:t xml:space="preserve">Appendices</w:t>
      </w:r>
      <w:bookmarkEnd w:id="61"/>
    </w:p>
    <w:p>
      <w:pPr>
        <w:pStyle w:val="Heading1"/>
      </w:pPr>
      <w:bookmarkStart w:id="62" w:name="appendix-a-updated-operating-model-components"/>
      <w:r>
        <w:t xml:space="preserve">Appendix A: Updated operating model components</w:t>
      </w:r>
      <w:bookmarkEnd w:id="62"/>
    </w:p>
    <w:p>
      <w:pPr>
        <w:pStyle w:val="Heading2"/>
      </w:pPr>
      <w:bookmarkStart w:id="63" w:name="updated-ageing-error-matrix"/>
      <w:r>
        <w:t xml:space="preserve">Updated ageing error matrix</w:t>
      </w:r>
      <w:bookmarkEnd w:id="63"/>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4" w:name="trawl-age-length-key-and-updated-selectivity-curve"/>
      <w:r>
        <w:t xml:space="preserve">Trawl Age-Length Key and updated selectivity curve</w:t>
      </w:r>
      <w:bookmarkEnd w:id="64"/>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5" w:name="tables-1"/>
      <w:r>
        <w:t xml:space="preserve">Tables</w:t>
      </w:r>
      <w:bookmarkEnd w:id="65"/>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6" w:name="figures-1"/>
      <w:r>
        <w:t xml:space="preserve">Figures</w:t>
      </w:r>
      <w:bookmarkEnd w:id="66"/>
    </w:p>
    <w:p>
      <w:pPr>
        <w:pStyle w:val="CaptionedFigure"/>
      </w:pPr>
      <w:r>
        <w:t xml:space="preserve">Figure 8: Estimated standard deviation of observed ages for the two age assignment cases cases considered.</w:t>
      </w:r>
    </w:p>
    <w:p>
      <w:pPr>
        <w:pStyle w:val="ImageCaption"/>
      </w:pPr>
      <w:r>
        <w:t xml:space="preserve">Figure 8: Estimated standard deviation of observed ages for the two age assignment cases cases considered.</w:t>
      </w:r>
    </w:p>
    <w:p>
      <w:pPr>
        <w:pStyle w:val="CaptionedFigure"/>
      </w:pPr>
      <w:r>
        <w:t xml:space="preserve">Figure 9: Probability of observed ages given the true age indicated in top right corner of each panel for the two age assignment cases considered.</w:t>
      </w:r>
    </w:p>
    <w:p>
      <w:pPr>
        <w:pStyle w:val="ImageCaption"/>
      </w:pPr>
      <w:r>
        <w:t xml:space="preserve">Figure 9: Probability of observed ages given the true age indicated in top right corner of each panel for the two age assignment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female catch-at-age compositions generated by the trawl age-length key from length observations of female fish</w:t>
      </w:r>
    </w:p>
    <w:p>
      <w:pPr>
        <w:pStyle w:val="ImageCaption"/>
      </w:pPr>
      <w:r>
        <w:t xml:space="preserve">Figure 11: Inferred female catch-at-age compositions generated by the trawl age-length key from length observations of female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60" Target="media/rId60.pdf" /><Relationship Type="http://schemas.openxmlformats.org/officeDocument/2006/relationships/image" Id="rId56" Target="media/rId56.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2019-11-19T18:17:17Z</dcterms:created>
  <dcterms:modified xsi:type="dcterms:W3CDTF">2019-11-19T18:17:17Z</dcterms:modified>
</cp:coreProperties>
</file>