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3.pdf" ContentType="application/pdf"/>
  <Override PartName="/word/media/rId25.pdf" ContentType="application/pdf"/>
  <Override PartName="/word/media/rId24.pdf" ContentType="application/pdf"/>
  <Override PartName="/word/media/rId26.pdf" ContentType="application/pdf"/>
  <Override PartName="/word/media/rId22.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fishery</w:t>
      </w:r>
      <w:r>
        <w:t xml:space="preserve"> </w:t>
      </w:r>
      <w:r>
        <w:t xml:space="preserve">for</w:t>
      </w:r>
      <w:r>
        <w:t xml:space="preserve"> </w:t>
      </w:r>
      <w:r>
        <w:t xml:space="preserve">2019-2020.</w:t>
      </w:r>
    </w:p>
    <w:p>
      <w:pPr>
        <w:pStyle w:val="Heading1"/>
      </w:pPr>
      <w:bookmarkStart w:id="20" w:name="tables"/>
      <w:r>
        <w:t xml:space="preserve">Tables</w:t>
      </w:r>
      <w:bookmarkEnd w:id="20"/>
    </w:p>
    <w:p>
      <w:pPr>
        <w:pStyle w:val="TableCaption"/>
      </w:pPr>
      <w:r>
        <w:t xml:space="preserve">Table 1: Operating model posterior distribution mean (standard deviation) biological parameter,</w:t>
      </w:r>
      <w:r>
        <w:t xml:space="preserve"> </w:t>
      </w:r>
      <w:r>
        <w:t xml:space="preserve">reference point estimates, and stock status indicators for fits to the 2016 data</w:t>
      </w:r>
      <w:r>
        <w:t xml:space="preserve"> </w:t>
      </w:r>
      <w:r>
        <w:t xml:space="preserve">and 2018 data. The columns</w:t>
      </w:r>
      <w:r>
        <w:t xml:space="preserve"> </w:t>
      </w:r>
      <w:r>
        <w:t xml:space="preserve"> </w:t>
      </w:r>
      <w:r>
        <w:t xml:space="preserve">and</w:t>
      </w:r>
      <w:r>
        <w:t xml:space="preserve"> </w:t>
      </w:r>
      <w:r>
        <w:t xml:space="preserve"> </w:t>
      </w:r>
      <w:r>
        <w:t xml:space="preserve">show the mean</w:t>
      </w:r>
      <w:r>
        <w:t xml:space="preserve"> </w:t>
      </w:r>
      <w:r>
        <w:t xml:space="preserve">and standard deviation of the full posterior for the respective fits, while the remaining columns</w:t>
      </w:r>
      <w:r>
        <w:t xml:space="preserve"> </w:t>
      </w:r>
      <w:r>
        <w:t xml:space="preserve">show posterior mean values from the five posterior strata defining the productivity/biomass</w:t>
      </w:r>
      <w:r>
        <w:t xml:space="preserve"> </w:t>
      </w:r>
      <w:r>
        <w:t xml:space="preserve">scenarios indicated by the column label (see Figure 1). Stock status is shown relative to</w:t>
      </w:r>
      <w:r>
        <w:t xml:space="preserve"> </w:t>
      </w:r>
      <w:r>
        <w:t xml:space="preserve">unfished (</w:t>
      </w:r>
      <m:oMath>
        <m:sSub>
          <m:e>
            <m:r>
              <m:t>B</m:t>
            </m:r>
          </m:e>
          <m:sub>
            <m:r>
              <m:t>t</m:t>
            </m:r>
          </m:sub>
        </m:sSub>
        <m:r>
          <m:t>/</m:t>
        </m:r>
        <m:sSub>
          <m:e>
            <m:r>
              <m:t>B</m:t>
            </m:r>
          </m:e>
          <m:sub>
            <m:r>
              <m:t>0</m:t>
            </m:r>
          </m:sub>
        </m:sSub>
      </m:oMath>
      <w:r>
        <w:t xml:space="preserve">), theoretical</w:t>
      </w:r>
      <w:r>
        <w:t xml:space="preserve"> </w:t>
      </w:r>
      <w:r>
        <w:t xml:space="preserve">most productive spawning biomass (</w:t>
      </w:r>
      <m:oMath>
        <m:sSub>
          <m:e>
            <m:r>
              <m:t>B</m:t>
            </m:r>
          </m:e>
          <m:sub>
            <m:r>
              <m:t>t</m:t>
            </m:r>
          </m:sub>
        </m:sSub>
        <m:r>
          <m:t>/</m:t>
        </m:r>
        <m:sSub>
          <m:e>
            <m:r>
              <m:t>B</m:t>
            </m:r>
          </m:e>
          <m:sub>
            <m:r>
              <m:t>M</m:t>
            </m:r>
            <m:r>
              <m:t>S</m:t>
            </m:r>
            <m:r>
              <m:t>Y</m:t>
            </m:r>
          </m:sub>
        </m:sSub>
      </m:oMath>
      <w:r>
        <w:t xml:space="preserve">), and the limit reference point</w:t>
      </w:r>
      <w:r>
        <w:t xml:space="preserve"> </w:t>
      </w:r>
      <w:r>
        <w:t xml:space="preserve">(</w:t>
      </w:r>
      <m:oMath>
        <m:sSub>
          <m:e>
            <m:r>
              <m:t>B</m:t>
            </m:r>
          </m:e>
          <m:sub>
            <m:r>
              <m:t>t</m:t>
            </m:r>
          </m:sub>
        </m:sSub>
        <m:r>
          <m:t>/</m:t>
        </m:r>
        <m:r>
          <m:t>(</m:t>
        </m:r>
        <m:r>
          <m:t>.4</m:t>
        </m:r>
        <m:sSub>
          <m:e>
            <m:r>
              <m:t>B</m:t>
            </m:r>
          </m:e>
          <m:sub>
            <m:r>
              <m:t>M</m:t>
            </m:r>
            <m:r>
              <m:t>S</m:t>
            </m:r>
            <m:r>
              <m:t>Y</m:t>
            </m:r>
          </m:sub>
        </m:sSub>
        <m:r>
          <m:t>)</m:t>
        </m:r>
      </m:oMath>
      <w:r>
        <w:t xml:space="preserve">) for</w:t>
      </w:r>
      <w:r>
        <w:t xml:space="preserve"> </w:t>
      </w:r>
      <m:oMath>
        <m:r>
          <m:t>t</m:t>
        </m:r>
        <m:r>
          <m:t>∈</m:t>
        </m:r>
        <m:r>
          <m:t>{</m:t>
        </m:r>
        <m:r>
          <m:t>2016</m:t>
        </m:r>
        <m:r>
          <m:t>,</m:t>
        </m:r>
        <m:r>
          <m:t>2018</m:t>
        </m:r>
        <m:r>
          <m:t>}</m:t>
        </m:r>
      </m:oMath>
      <w:r>
        <w:t xml:space="preserve">. The bottom</w:t>
      </w:r>
      <w:r>
        <w:t xml:space="preserve"> </w:t>
      </w:r>
      <w:r>
        <w:t xml:space="preserve">two rows show the posterior probability of spawning biomass</w:t>
      </w:r>
      <w:r>
        <w:t xml:space="preserve"> </w:t>
      </w:r>
      <w:r>
        <w:t xml:space="preserve">being above the limit reference point in both 2016 and 2018.</w:t>
      </w:r>
    </w:p>
    <w:tbl>
      <w:tblPr>
        <w:tblStyle w:val="Table"/>
        <w:tblW w:type="pct" w:w="0.0"/>
        <w:tblLook w:firstRow="1"/>
        <w:tblCaption w:val="Table 1: Operating model posterior distribution mean (standard deviation) biological parameter, reference point estimates, and stock status indicators for fits to the 2016 data and 2018 data. The columns  and  show the mean and standard deviation of the full posterior for the respective fits, while the remaining columns show posterior mean values from the five posterior strata defining the productivity/biomass scenarios indicated by the column label (see Figure 1). Stock status is shown relative to unfished (B_t/B_0), theoretical most productive spawning biomass (B_t/B_{MSY}), and the limit reference point (B_t/(.4B_{MSY})) for t \in \{2016, 2018\}. The bottom two rows show the posterior probability of spawning biomass being above the limit reference point in both 2016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2016</m:t>
                  </m:r>
                </m:sub>
              </m:sSub>
              <m:r>
                <m:t>/</m:t>
              </m:r>
              <m:r>
                <m:t>(</m:t>
              </m:r>
              <m:r>
                <m:t>.4</m:t>
              </m:r>
              <m:sSub>
                <m:e>
                  <m:r>
                    <m:t>B</m:t>
                  </m:r>
                </m:e>
                <m:sub>
                  <m:r>
                    <m:t>M</m:t>
                  </m:r>
                  <m:r>
                    <m:t>S</m:t>
                  </m:r>
                  <m:r>
                    <m:t>Y</m:t>
                  </m:r>
                </m:sub>
              </m:sSub>
              <m:r>
                <m:t>)</m:t>
              </m:r>
            </m:oMath>
          </w:p>
        </w:tc>
        <w:tc>
          <w:p>
            <w:pPr>
              <w:pStyle w:val="Compact"/>
              <w:jc w:val="left"/>
            </w:pPr>
            <w:r>
              <w:t xml:space="preserve">1.17 (0.12)</w:t>
            </w:r>
          </w:p>
        </w:tc>
        <w:tc>
          <w:p>
            <w:pPr>
              <w:pStyle w:val="Compact"/>
              <w:jc w:val="left"/>
            </w:pPr>
            <w:r>
              <w:t xml:space="preserve">1.53 (0.16)</w:t>
            </w:r>
          </w:p>
        </w:tc>
        <w:tc>
          <w:p>
            <w:pPr>
              <w:pStyle w:val="Compact"/>
              <w:jc w:val="left"/>
            </w:pPr>
            <w:r>
              <w:t xml:space="preserve">1.68</w:t>
            </w:r>
          </w:p>
        </w:tc>
        <w:tc>
          <w:p>
            <w:pPr>
              <w:pStyle w:val="Compact"/>
              <w:jc w:val="left"/>
            </w:pPr>
            <w:r>
              <w:t xml:space="preserve">1.65</w:t>
            </w:r>
          </w:p>
        </w:tc>
        <w:tc>
          <w:p>
            <w:pPr>
              <w:pStyle w:val="Compact"/>
              <w:jc w:val="left"/>
            </w:pPr>
            <w:r>
              <w:t xml:space="preserve">1.39</w:t>
            </w:r>
          </w:p>
        </w:tc>
        <w:tc>
          <w:p>
            <w:pPr>
              <w:pStyle w:val="Compact"/>
              <w:jc w:val="left"/>
            </w:pPr>
            <w:r>
              <w:t xml:space="preserve">1.43</w:t>
            </w:r>
          </w:p>
        </w:tc>
        <w:tc>
          <w:p>
            <w:pPr>
              <w:pStyle w:val="Compact"/>
              <w:jc w:val="left"/>
            </w:pPr>
            <w:r>
              <w:t xml:space="preserve">1.53</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r>
        <w:tc>
          <w:p>
            <w:pPr>
              <w:pStyle w:val="Compact"/>
              <w:jc w:val="left"/>
            </w:pPr>
            <m:oMath>
              <m:sSub>
                <m:e>
                  <m:r>
                    <m:t>B</m:t>
                  </m:r>
                </m:e>
                <m:sub>
                  <m:r>
                    <m:t>2018</m:t>
                  </m:r>
                </m:sub>
              </m:sSub>
              <m:r>
                <m:t>/</m:t>
              </m:r>
              <m:r>
                <m:t>(</m:t>
              </m:r>
              <m:r>
                <m:t>.4</m:t>
              </m:r>
              <m:sSub>
                <m:e>
                  <m:r>
                    <m:t>B</m:t>
                  </m:r>
                </m:e>
                <m:sub>
                  <m:r>
                    <m:t>M</m:t>
                  </m:r>
                  <m:r>
                    <m:t>S</m:t>
                  </m:r>
                  <m:r>
                    <m:t>Y</m:t>
                  </m:r>
                </m:sub>
              </m:sSub>
              <m:r>
                <m:t>)</m:t>
              </m:r>
            </m:oMath>
          </w:p>
        </w:tc>
        <w:tc>
          <w:p>
            <w:pPr>
              <w:pStyle w:val="Compact"/>
            </w:pPr>
          </w:p>
        </w:tc>
        <w:tc>
          <w:p>
            <w:pPr>
              <w:pStyle w:val="Compact"/>
              <w:jc w:val="left"/>
            </w:pPr>
            <w:r>
              <w:t xml:space="preserve">2 (0.24)</w:t>
            </w:r>
          </w:p>
        </w:tc>
        <w:tc>
          <w:p>
            <w:pPr>
              <w:pStyle w:val="Compact"/>
              <w:jc w:val="left"/>
            </w:pPr>
            <w:r>
              <w:t xml:space="preserve">2.23</w:t>
            </w:r>
          </w:p>
        </w:tc>
        <w:tc>
          <w:p>
            <w:pPr>
              <w:pStyle w:val="Compact"/>
              <w:jc w:val="left"/>
            </w:pPr>
            <w:r>
              <w:t xml:space="preserve">2.15</w:t>
            </w:r>
          </w:p>
        </w:tc>
        <w:tc>
          <w:p>
            <w:pPr>
              <w:pStyle w:val="Compact"/>
              <w:jc w:val="left"/>
            </w:pPr>
            <w:r>
              <w:t xml:space="preserve">1.79</w:t>
            </w:r>
          </w:p>
        </w:tc>
        <w:tc>
          <w:p>
            <w:pPr>
              <w:pStyle w:val="Compact"/>
              <w:jc w:val="left"/>
            </w:pPr>
            <w:r>
              <w:t xml:space="preserve">1.88</w:t>
            </w:r>
          </w:p>
        </w:tc>
        <w:tc>
          <w:p>
            <w:pPr>
              <w:pStyle w:val="Compact"/>
              <w:jc w:val="left"/>
            </w:pPr>
            <w:r>
              <w:t xml:space="preserve">2</w:t>
            </w:r>
          </w:p>
        </w:tc>
      </w:tr>
      <w:tr>
        <w:tc>
          <w:p>
            <w:pPr>
              <w:pStyle w:val="Compact"/>
              <w:jc w:val="left"/>
            </w:pPr>
            <m:oMath>
              <m:r>
                <m:t>P</m:t>
              </m:r>
              <m:r>
                <m:t>(</m:t>
              </m:r>
              <m:sSub>
                <m:e>
                  <m:r>
                    <m:t>B</m:t>
                  </m:r>
                </m:e>
                <m:sub>
                  <m:r>
                    <m:t>2016</m:t>
                  </m:r>
                </m:sub>
              </m:sSub>
              <m:r>
                <m:t>≥</m:t>
              </m:r>
              <m:r>
                <m:t>.4</m:t>
              </m:r>
              <m:sSub>
                <m:e>
                  <m:r>
                    <m:t>B</m:t>
                  </m:r>
                </m:e>
                <m:sub>
                  <m:r>
                    <m:t>M</m:t>
                  </m:r>
                  <m:r>
                    <m:t>S</m:t>
                  </m:r>
                  <m:r>
                    <m:t>Y</m:t>
                  </m:r>
                </m:sub>
              </m:sSub>
              <m:r>
                <m:t>)</m:t>
              </m:r>
            </m:oMath>
          </w:p>
        </w:tc>
        <w:tc>
          <w:p>
            <w:pPr>
              <w:pStyle w:val="Compact"/>
              <w:jc w:val="left"/>
            </w:pPr>
            <w:r>
              <w:t xml:space="preserve">0.93</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m:oMath>
              <m:r>
                <m:t>P</m:t>
              </m:r>
              <m:r>
                <m:t>(</m:t>
              </m:r>
              <m:sSub>
                <m:e>
                  <m:r>
                    <m:t>B</m:t>
                  </m:r>
                </m:e>
                <m:sub>
                  <m:r>
                    <m:t>2018</m:t>
                  </m:r>
                </m:sub>
              </m:sSub>
              <m:r>
                <m:t>≥</m:t>
              </m:r>
              <m:r>
                <m:t>.4</m:t>
              </m:r>
              <m:sSub>
                <m:e>
                  <m:r>
                    <m:t>B</m:t>
                  </m:r>
                </m:e>
                <m:sub>
                  <m:r>
                    <m:t>M</m:t>
                  </m:r>
                  <m:r>
                    <m:t>S</m:t>
                  </m:r>
                  <m:r>
                    <m:t>Y</m:t>
                  </m:r>
                </m:sub>
              </m:sSub>
              <m:r>
                <m:t>)</m:t>
              </m:r>
            </m:oMath>
          </w:p>
        </w:tc>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Table 2: Weighted performance metrics for all candidate management procedures on the</w:t>
      </w:r>
      <w:r>
        <w:t xml:space="preserve"> </w:t>
      </w:r>
      <w:r>
        <w:t xml:space="preserve">. Conservation performance metrics</w:t>
      </w:r>
      <w:r>
        <w:t xml:space="preserve"> </w:t>
      </w:r>
      <w:r>
        <w:t xml:space="preserve">that pass the criteria in</w:t>
      </w:r>
      <w:r>
        <w:t xml:space="preserve"> </w:t>
      </w:r>
      <w:r>
        <w:t xml:space="preserve">the header are indicated by a bullet. Catch is given in biomass units, which are measured in</w:t>
      </w:r>
      <w:r>
        <w:t xml:space="preserve"> </w:t>
      </w:r>
      <w:r>
        <w:t xml:space="preserve">kilotonnes. Table is sorted by 10 year average catch</w:t>
      </w:r>
      <w:r>
        <w:t xml:space="preserve"> </w:t>
      </w:r>
      <m:oMath>
        <m:sSub>
          <m:e>
            <m:bar>
              <m:barPr>
                <m:pos m:val="top"/>
              </m:barPr>
              <m:e>
                <m:r>
                  <m:t>C</m:t>
                </m:r>
              </m:e>
            </m:bar>
          </m:e>
          <m:sub>
            <m:r>
              <m:t>2019</m:t>
            </m:r>
            <m:r>
              <m:t>:</m:t>
            </m:r>
            <m:r>
              <m:t>2028</m:t>
            </m:r>
          </m:sub>
        </m:sSub>
      </m:oMath>
      <w:r>
        <w:t xml:space="preserve">. For Objective 2,</w:t>
      </w:r>
      <w:r>
        <w:t xml:space="preserve"> </w:t>
      </w:r>
      <w:r>
        <w:t xml:space="preserve">Obs refers to the observed probability of decline, and Acc to the acceptable probability of</w:t>
      </w:r>
      <w:r>
        <w:t xml:space="preserve"> </w:t>
      </w:r>
      <w:r>
        <w:t xml:space="preserve">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0.49</m:t>
              </m:r>
              <m:r>
                <m:t>&lt;</m:t>
              </m:r>
              <m:r>
                <m:t>0.5</m:t>
              </m:r>
            </m:oMath>
          </w:p>
        </w:tc>
        <w:tc>
          <w:p>
            <w:pPr>
              <w:pStyle w:val="Compact"/>
              <w:jc w:val="center"/>
            </w:pPr>
            <w:r>
              <w:t xml:space="preserve">0.02</w:t>
            </w:r>
          </w:p>
        </w:tc>
        <w:tc>
          <w:p>
            <w:pPr>
              <w:pStyle w:val="Compact"/>
              <w:jc w:val="center"/>
            </w:pPr>
            <w:r>
              <w:t xml:space="preserve">4.527</w:t>
            </w:r>
          </w:p>
        </w:tc>
        <w:tc>
          <w:p>
            <w:pPr>
              <w:pStyle w:val="Compact"/>
              <w:jc w:val="center"/>
            </w:pPr>
            <w:r>
              <w:t xml:space="preserve">4.555</w:t>
            </w:r>
          </w:p>
        </w:tc>
        <w:tc>
          <w:p>
            <w:pPr>
              <w:pStyle w:val="Compact"/>
              <w:jc w:val="center"/>
            </w:pPr>
            <w:r>
              <w:t xml:space="preserve">8</w:t>
            </w:r>
          </w:p>
        </w:tc>
        <w:tc>
          <w:p>
            <w:pPr>
              <w:pStyle w:val="Compact"/>
              <w:jc w:val="center"/>
            </w:pPr>
            <w:r>
              <w:t xml:space="preserve">3.22</w:t>
            </w:r>
          </w:p>
        </w:tc>
        <w:tc>
          <w:p>
            <w:pPr>
              <w:pStyle w:val="Compact"/>
              <w:jc w:val="center"/>
            </w:pPr>
            <w:r>
              <w:t xml:space="preserve">0.35</w:t>
            </w:r>
          </w:p>
        </w:tc>
        <w:tc>
          <w:p>
            <w:pPr>
              <w:pStyle w:val="Compact"/>
              <w:jc w:val="center"/>
            </w:pPr>
            <w:r>
              <w:t xml:space="preserve">0.0750</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4.095</w:t>
            </w:r>
          </w:p>
        </w:tc>
        <w:tc>
          <w:p>
            <w:pPr>
              <w:pStyle w:val="Compact"/>
              <w:jc w:val="center"/>
            </w:pPr>
            <w:r>
              <w:t xml:space="preserve">4.765</w:t>
            </w:r>
          </w:p>
        </w:tc>
        <w:tc>
          <w:p>
            <w:pPr>
              <w:pStyle w:val="Compact"/>
              <w:jc w:val="center"/>
            </w:pPr>
            <w:r>
              <w:t xml:space="preserve">8</w:t>
            </w:r>
          </w:p>
        </w:tc>
        <w:tc>
          <w:p>
            <w:pPr>
              <w:pStyle w:val="Compact"/>
              <w:jc w:val="center"/>
            </w:pPr>
            <w:r>
              <w:t xml:space="preserve">3.36</w:t>
            </w:r>
          </w:p>
        </w:tc>
        <w:tc>
          <w:p>
            <w:pPr>
              <w:pStyle w:val="Compact"/>
              <w:jc w:val="center"/>
            </w:pPr>
            <w:r>
              <w:t xml:space="preserve">0.35</w:t>
            </w:r>
          </w:p>
        </w:tc>
        <w:tc>
          <w:p>
            <w:pPr>
              <w:pStyle w:val="Compact"/>
              <w:jc w:val="center"/>
            </w:pPr>
            <w:r>
              <w:t xml:space="preserve">0.0783</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4.012</w:t>
            </w:r>
          </w:p>
        </w:tc>
        <w:tc>
          <w:p>
            <w:pPr>
              <w:pStyle w:val="Compact"/>
              <w:jc w:val="center"/>
            </w:pPr>
            <w:r>
              <w:t xml:space="preserve">4.513</w:t>
            </w:r>
          </w:p>
        </w:tc>
        <w:tc>
          <w:p>
            <w:pPr>
              <w:pStyle w:val="Compact"/>
              <w:jc w:val="center"/>
            </w:pPr>
            <w:r>
              <w:t xml:space="preserve">8</w:t>
            </w:r>
          </w:p>
        </w:tc>
        <w:tc>
          <w:p>
            <w:pPr>
              <w:pStyle w:val="Compact"/>
              <w:jc w:val="center"/>
            </w:pPr>
            <w:r>
              <w:t xml:space="preserve">3.18</w:t>
            </w:r>
          </w:p>
        </w:tc>
        <w:tc>
          <w:p>
            <w:pPr>
              <w:pStyle w:val="Compact"/>
              <w:jc w:val="center"/>
            </w:pPr>
            <w:r>
              <w:t xml:space="preserve">0.35</w:t>
            </w:r>
          </w:p>
        </w:tc>
        <w:tc>
          <w:p>
            <w:pPr>
              <w:pStyle w:val="Compact"/>
              <w:jc w:val="center"/>
            </w:pPr>
            <w:r>
              <w:t xml:space="preserve">0.0741</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3.957</w:t>
            </w:r>
          </w:p>
        </w:tc>
        <w:tc>
          <w:p>
            <w:pPr>
              <w:pStyle w:val="Compact"/>
              <w:jc w:val="center"/>
            </w:pPr>
            <w:r>
              <w:t xml:space="preserve">4.293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0.0705</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3.939</w:t>
            </w:r>
          </w:p>
        </w:tc>
        <w:tc>
          <w:p>
            <w:pPr>
              <w:pStyle w:val="Compact"/>
              <w:jc w:val="center"/>
            </w:pPr>
            <w:r>
              <w:t xml:space="preserve">4.439</w:t>
            </w:r>
          </w:p>
        </w:tc>
        <w:tc>
          <w:p>
            <w:pPr>
              <w:pStyle w:val="Compact"/>
              <w:jc w:val="center"/>
            </w:pPr>
            <w:r>
              <w:t xml:space="preserve">8</w:t>
            </w:r>
          </w:p>
        </w:tc>
        <w:tc>
          <w:p>
            <w:pPr>
              <w:pStyle w:val="Compact"/>
              <w:jc w:val="center"/>
            </w:pPr>
            <w:r>
              <w:t xml:space="preserve">3.12</w:t>
            </w:r>
          </w:p>
        </w:tc>
        <w:tc>
          <w:p>
            <w:pPr>
              <w:pStyle w:val="Compact"/>
              <w:jc w:val="center"/>
            </w:pPr>
            <w:r>
              <w:t xml:space="preserve">0.35</w:t>
            </w:r>
          </w:p>
        </w:tc>
        <w:tc>
          <w:p>
            <w:pPr>
              <w:pStyle w:val="Compact"/>
              <w:jc w:val="center"/>
            </w:pPr>
            <w:r>
              <w:t xml:space="preserve">0.0728</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3.926</w:t>
            </w:r>
          </w:p>
        </w:tc>
        <w:tc>
          <w:p>
            <w:pPr>
              <w:pStyle w:val="Compact"/>
              <w:jc w:val="center"/>
            </w:pPr>
            <w:r>
              <w:t xml:space="preserve">4.248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0.0696</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3.912</w:t>
            </w:r>
          </w:p>
        </w:tc>
        <w:tc>
          <w:p>
            <w:pPr>
              <w:pStyle w:val="Compact"/>
              <w:jc w:val="center"/>
            </w:pPr>
            <w:r>
              <w:t xml:space="preserve">4.168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3.876</w:t>
            </w:r>
          </w:p>
        </w:tc>
        <w:tc>
          <w:p>
            <w:pPr>
              <w:pStyle w:val="Compact"/>
              <w:jc w:val="center"/>
            </w:pPr>
            <w:r>
              <w:t xml:space="preserve">4.071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0.0663</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3.858</w:t>
            </w:r>
          </w:p>
        </w:tc>
        <w:tc>
          <w:p>
            <w:pPr>
              <w:pStyle w:val="Compact"/>
              <w:jc w:val="center"/>
            </w:pPr>
            <w:r>
              <w:t xml:space="preserve">4.115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0.0670</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3.852</w:t>
            </w:r>
          </w:p>
        </w:tc>
        <w:tc>
          <w:p>
            <w:pPr>
              <w:pStyle w:val="Compact"/>
              <w:jc w:val="center"/>
            </w:pPr>
            <w:r>
              <w:t xml:space="preserve">4.021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0.0654</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3.812</w:t>
            </w:r>
          </w:p>
        </w:tc>
        <w:tc>
          <w:p>
            <w:pPr>
              <w:pStyle w:val="Compact"/>
              <w:jc w:val="center"/>
            </w:pPr>
            <w:r>
              <w:t xml:space="preserve">3.919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3.799</w:t>
            </w:r>
          </w:p>
        </w:tc>
        <w:tc>
          <w:p>
            <w:pPr>
              <w:pStyle w:val="Compact"/>
              <w:jc w:val="center"/>
            </w:pPr>
            <w:r>
              <w:t xml:space="preserve">4.154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0.0676</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3.771</w:t>
            </w:r>
          </w:p>
        </w:tc>
        <w:tc>
          <w:p>
            <w:pPr>
              <w:pStyle w:val="Compact"/>
              <w:jc w:val="center"/>
            </w:pPr>
            <w:r>
              <w:t xml:space="preserve">3.949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3.721</w:t>
            </w:r>
          </w:p>
        </w:tc>
        <w:tc>
          <w:p>
            <w:pPr>
              <w:pStyle w:val="Compact"/>
              <w:jc w:val="center"/>
            </w:pPr>
            <w:r>
              <w:t xml:space="preserve">3.739</w:t>
            </w:r>
          </w:p>
        </w:tc>
        <w:tc>
          <w:p>
            <w:pPr>
              <w:pStyle w:val="Compact"/>
              <w:jc w:val="center"/>
            </w:pPr>
            <w:r>
              <w:t xml:space="preserve">6</w:t>
            </w:r>
          </w:p>
        </w:tc>
        <w:tc>
          <w:p>
            <w:pPr>
              <w:pStyle w:val="Compact"/>
              <w:jc w:val="center"/>
            </w:pPr>
            <w:r>
              <w:t xml:space="preserve">3.05</w:t>
            </w:r>
          </w:p>
        </w:tc>
        <w:tc>
          <w:p>
            <w:pPr>
              <w:pStyle w:val="Compact"/>
              <w:jc w:val="center"/>
            </w:pPr>
            <w:r>
              <w:t xml:space="preserve">0.35</w:t>
            </w:r>
          </w:p>
        </w:tc>
        <w:tc>
          <w:p>
            <w:pPr>
              <w:pStyle w:val="Compact"/>
              <w:jc w:val="center"/>
            </w:pPr>
            <w:r>
              <w:t xml:space="preserve">0.0599</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3.713</w:t>
            </w:r>
          </w:p>
        </w:tc>
        <w:tc>
          <w:p>
            <w:pPr>
              <w:pStyle w:val="Compact"/>
              <w:jc w:val="center"/>
            </w:pPr>
            <w:r>
              <w:t xml:space="preserve">3.969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0.0641</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3.708</w:t>
            </w:r>
          </w:p>
        </w:tc>
        <w:tc>
          <w:p>
            <w:pPr>
              <w:pStyle w:val="Compact"/>
              <w:jc w:val="center"/>
            </w:pPr>
            <w:r>
              <w:t xml:space="preserve">3.848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0.0619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w:t>
      </w:r>
      <w:r>
        <w:t xml:space="preserve"> </w:t>
      </w:r>
      <w:r>
        <w:t xml:space="preserve">in the</w:t>
      </w:r>
      <w:r>
        <w:t xml:space="preserve"> </w:t>
      </w:r>
      <w:r>
        <w:t xml:space="preserve">. Column 3 shows the average catch</w:t>
      </w:r>
      <w:r>
        <w:t xml:space="preserve"> </w:t>
      </w:r>
      <w:r>
        <w:t xml:space="preserve">over the first 10 years, and the remaining columns show the total cumulative revenue ($m) of</w:t>
      </w:r>
      <w:r>
        <w:t xml:space="preserve"> </w:t>
      </w:r>
      <w:r>
        <w:t xml:space="preserve">catch</w:t>
      </w:r>
      <w:r>
        <w:t xml:space="preserve"> </w:t>
      </w:r>
      <m:oMath>
        <m:r>
          <m:t>C</m:t>
        </m:r>
      </m:oMath>
      <w:r>
        <w:t xml:space="preserve"> </w:t>
      </w:r>
      <w:r>
        <w:t xml:space="preserve">and discards</w:t>
      </w:r>
      <w:r>
        <w:t xml:space="preserve"> </w:t>
      </w:r>
      <m:oMath>
        <m:r>
          <m:t>D</m:t>
        </m:r>
      </m:oMath>
      <w:r>
        <w:t xml:space="preserve"> </w:t>
      </w:r>
      <w:r>
        <w:t xml:space="preserve">for each sector, catch revenue</w:t>
      </w:r>
      <w:r>
        <w:t xml:space="preserve"> </w:t>
      </w:r>
      <m:oMath>
        <m:sSup>
          <m:e>
            <m:r>
              <m:t>C</m:t>
            </m:r>
          </m:e>
          <m:sup>
            <m:r>
              <m:t>t</m:t>
            </m:r>
            <m:r>
              <m:t>o</m:t>
            </m:r>
            <m:r>
              <m:t>t</m:t>
            </m:r>
          </m:sup>
        </m:sSup>
      </m:oMath>
      <w:r>
        <w:t xml:space="preserve"> </w:t>
      </w:r>
      <w:r>
        <w:t xml:space="preserve">for all sectors combined,</w:t>
      </w:r>
      <w:r>
        <w:t xml:space="preserve"> </w:t>
      </w:r>
      <w:r>
        <w:t xml:space="preserve">and the yearly average revenue</w:t>
      </w:r>
      <w:r>
        <w:t xml:space="preserve"> </w:t>
      </w:r>
      <m:oMath>
        <m:r>
          <m:t>R</m:t>
        </m:r>
      </m:oMath>
      <w:r>
        <w:t xml:space="preserve"> </w:t>
      </w:r>
      <w:r>
        <w:t xml:space="preserve">in dollars per tonne of catch, over the next 10 years.</w:t>
      </w:r>
      <w:r>
        <w:t xml:space="preserve"> </w:t>
      </w:r>
      <w:r>
        <w:t xml:space="preserve">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4.527</w:t>
            </w:r>
          </w:p>
        </w:tc>
        <w:tc>
          <w:p>
            <w:pPr>
              <w:pStyle w:val="Compact"/>
              <w:jc w:val="center"/>
            </w:pPr>
            <w:r>
              <w:t xml:space="preserve">4.555</w:t>
            </w:r>
          </w:p>
        </w:tc>
        <w:tc>
          <w:p>
            <w:pPr>
              <w:pStyle w:val="Compact"/>
              <w:jc w:val="center"/>
            </w:pPr>
            <w:r>
              <w:t xml:space="preserve">419.4</w:t>
            </w:r>
          </w:p>
        </w:tc>
        <w:tc>
          <w:p>
            <w:pPr>
              <w:pStyle w:val="Compact"/>
              <w:jc w:val="center"/>
            </w:pPr>
            <w:r>
              <w:t xml:space="preserve">336.7</w:t>
            </w:r>
          </w:p>
        </w:tc>
        <w:tc>
          <w:p>
            <w:pPr>
              <w:pStyle w:val="Compact"/>
              <w:jc w:val="center"/>
            </w:pPr>
            <w:r>
              <w:t xml:space="preserve">61.06</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817.2</w:t>
            </w:r>
          </w:p>
        </w:tc>
        <w:tc>
          <w:p>
            <w:pPr>
              <w:pStyle w:val="Compact"/>
              <w:jc w:val="center"/>
            </w:pPr>
            <w:r>
              <w:t xml:space="preserve">17970</w:t>
            </w:r>
          </w:p>
        </w:tc>
        <w:tc>
          <w:p>
            <w:pPr>
              <w:pStyle w:val="Compact"/>
              <w:jc w:val="left"/>
            </w:pPr>
            <w:r>
              <w:t xml:space="preserve">18320</w:t>
            </w:r>
          </w:p>
        </w:tc>
        <w:tc>
          <w:p>
            <w:pPr>
              <w:pStyle w:val="Compact"/>
              <w:jc w:val="left"/>
            </w:pPr>
            <w:r>
              <w:t xml:space="preserve">16270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4.095</w:t>
            </w:r>
          </w:p>
        </w:tc>
        <w:tc>
          <w:p>
            <w:pPr>
              <w:pStyle w:val="Compact"/>
              <w:jc w:val="center"/>
            </w:pPr>
            <w:r>
              <w:t xml:space="preserve">4.765</w:t>
            </w:r>
          </w:p>
        </w:tc>
        <w:tc>
          <w:p>
            <w:pPr>
              <w:pStyle w:val="Compact"/>
              <w:jc w:val="center"/>
            </w:pPr>
            <w:r>
              <w:t xml:space="preserve">383.9</w:t>
            </w:r>
          </w:p>
        </w:tc>
        <w:tc>
          <w:p>
            <w:pPr>
              <w:pStyle w:val="Compact"/>
              <w:jc w:val="center"/>
            </w:pPr>
            <w:r>
              <w:t xml:space="preserve">319.5</w:t>
            </w:r>
          </w:p>
        </w:tc>
        <w:tc>
          <w:p>
            <w:pPr>
              <w:pStyle w:val="Compact"/>
              <w:jc w:val="center"/>
            </w:pPr>
            <w:r>
              <w:t xml:space="preserve">42.49</w:t>
            </w:r>
          </w:p>
        </w:tc>
        <w:tc>
          <w:p>
            <w:pPr>
              <w:pStyle w:val="Compact"/>
              <w:jc w:val="center"/>
            </w:pPr>
            <w:r>
              <w:t xml:space="preserve">10.890</w:t>
            </w:r>
          </w:p>
        </w:tc>
        <w:tc>
          <w:p>
            <w:pPr>
              <w:pStyle w:val="Compact"/>
              <w:jc w:val="center"/>
            </w:pPr>
            <w:r>
              <w:t xml:space="preserve">13.38</w:t>
            </w:r>
          </w:p>
        </w:tc>
        <w:tc>
          <w:p>
            <w:pPr>
              <w:pStyle w:val="Compact"/>
              <w:jc w:val="center"/>
            </w:pPr>
            <w:r>
              <w:t xml:space="preserve">25.67</w:t>
            </w:r>
          </w:p>
        </w:tc>
        <w:tc>
          <w:p>
            <w:pPr>
              <w:pStyle w:val="Compact"/>
              <w:jc w:val="center"/>
            </w:pPr>
            <w:r>
              <w:t xml:space="preserve">745.9</w:t>
            </w:r>
          </w:p>
        </w:tc>
        <w:tc>
          <w:p>
            <w:pPr>
              <w:pStyle w:val="Compact"/>
              <w:jc w:val="center"/>
            </w:pPr>
            <w:r>
              <w:t xml:space="preserve">18130</w:t>
            </w:r>
          </w:p>
        </w:tc>
        <w:tc>
          <w:p>
            <w:pPr>
              <w:pStyle w:val="Compact"/>
              <w:jc w:val="left"/>
            </w:pPr>
            <w:r>
              <w:t xml:space="preserve">18340</w:t>
            </w:r>
          </w:p>
        </w:tc>
        <w:tc>
          <w:p>
            <w:pPr>
              <w:pStyle w:val="Compact"/>
              <w:jc w:val="left"/>
            </w:pPr>
            <w:r>
              <w:t xml:space="preserve">17320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4.012</w:t>
            </w:r>
          </w:p>
        </w:tc>
        <w:tc>
          <w:p>
            <w:pPr>
              <w:pStyle w:val="Compact"/>
              <w:jc w:val="center"/>
            </w:pPr>
            <w:r>
              <w:t xml:space="preserve">4.513</w:t>
            </w:r>
          </w:p>
        </w:tc>
        <w:tc>
          <w:p>
            <w:pPr>
              <w:pStyle w:val="Compact"/>
              <w:jc w:val="center"/>
            </w:pPr>
            <w:r>
              <w:t xml:space="preserve">371.7</w:t>
            </w:r>
          </w:p>
        </w:tc>
        <w:tc>
          <w:p>
            <w:pPr>
              <w:pStyle w:val="Compact"/>
              <w:jc w:val="center"/>
            </w:pPr>
            <w:r>
              <w:t xml:space="preserve">312.7</w:t>
            </w:r>
          </w:p>
        </w:tc>
        <w:tc>
          <w:p>
            <w:pPr>
              <w:pStyle w:val="Compact"/>
              <w:jc w:val="center"/>
            </w:pPr>
            <w:r>
              <w:t xml:space="preserve">46.54</w:t>
            </w:r>
          </w:p>
        </w:tc>
        <w:tc>
          <w:p>
            <w:pPr>
              <w:pStyle w:val="Compact"/>
              <w:jc w:val="center"/>
            </w:pPr>
            <w:r>
              <w:t xml:space="preserve">10.460</w:t>
            </w:r>
          </w:p>
        </w:tc>
        <w:tc>
          <w:p>
            <w:pPr>
              <w:pStyle w:val="Compact"/>
              <w:jc w:val="center"/>
            </w:pPr>
            <w:r>
              <w:t xml:space="preserve">13.04</w:t>
            </w:r>
          </w:p>
        </w:tc>
        <w:tc>
          <w:p>
            <w:pPr>
              <w:pStyle w:val="Compact"/>
              <w:jc w:val="center"/>
            </w:pPr>
            <w:r>
              <w:t xml:space="preserve">27.67</w:t>
            </w:r>
          </w:p>
        </w:tc>
        <w:tc>
          <w:p>
            <w:pPr>
              <w:pStyle w:val="Compact"/>
              <w:jc w:val="center"/>
            </w:pPr>
            <w:r>
              <w:t xml:space="preserve">730.9</w:t>
            </w:r>
          </w:p>
        </w:tc>
        <w:tc>
          <w:p>
            <w:pPr>
              <w:pStyle w:val="Compact"/>
              <w:jc w:val="center"/>
            </w:pPr>
            <w:r>
              <w:t xml:space="preserve">18130</w:t>
            </w:r>
          </w:p>
        </w:tc>
        <w:tc>
          <w:p>
            <w:pPr>
              <w:pStyle w:val="Compact"/>
              <w:jc w:val="left"/>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3.957</w:t>
            </w:r>
          </w:p>
        </w:tc>
        <w:tc>
          <w:p>
            <w:pPr>
              <w:pStyle w:val="Compact"/>
              <w:jc w:val="center"/>
            </w:pPr>
            <w:r>
              <w:t xml:space="preserve">4.293</w:t>
            </w:r>
          </w:p>
        </w:tc>
        <w:tc>
          <w:p>
            <w:pPr>
              <w:pStyle w:val="Compact"/>
              <w:jc w:val="center"/>
            </w:pPr>
            <w:r>
              <w:t xml:space="preserve">371.0</w:t>
            </w:r>
          </w:p>
        </w:tc>
        <w:tc>
          <w:p>
            <w:pPr>
              <w:pStyle w:val="Compact"/>
              <w:jc w:val="center"/>
            </w:pPr>
            <w:r>
              <w:t xml:space="preserve">302.4</w:t>
            </w:r>
          </w:p>
        </w:tc>
        <w:tc>
          <w:p>
            <w:pPr>
              <w:pStyle w:val="Compact"/>
              <w:jc w:val="center"/>
            </w:pPr>
            <w:r>
              <w:t xml:space="preserve">47.59</w:t>
            </w:r>
          </w:p>
        </w:tc>
        <w:tc>
          <w:p>
            <w:pPr>
              <w:pStyle w:val="Compact"/>
              <w:jc w:val="center"/>
            </w:pPr>
            <w:r>
              <w:t xml:space="preserve">10.390</w:t>
            </w:r>
          </w:p>
        </w:tc>
        <w:tc>
          <w:p>
            <w:pPr>
              <w:pStyle w:val="Compact"/>
              <w:jc w:val="center"/>
            </w:pPr>
            <w:r>
              <w:t xml:space="preserve">12.59</w:t>
            </w:r>
          </w:p>
        </w:tc>
        <w:tc>
          <w:p>
            <w:pPr>
              <w:pStyle w:val="Compact"/>
              <w:jc w:val="center"/>
            </w:pPr>
            <w:r>
              <w:t xml:space="preserve">28.38</w:t>
            </w:r>
          </w:p>
        </w:tc>
        <w:tc>
          <w:p>
            <w:pPr>
              <w:pStyle w:val="Compact"/>
              <w:jc w:val="center"/>
            </w:pPr>
            <w:r>
              <w:t xml:space="preserve">721.0</w:t>
            </w:r>
          </w:p>
        </w:tc>
        <w:tc>
          <w:p>
            <w:pPr>
              <w:pStyle w:val="Compact"/>
              <w:jc w:val="center"/>
            </w:pPr>
            <w:r>
              <w:t xml:space="preserve">18140</w:t>
            </w:r>
          </w:p>
        </w:tc>
        <w:tc>
          <w:p>
            <w:pPr>
              <w:pStyle w:val="Compact"/>
              <w:jc w:val="left"/>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3.939</w:t>
            </w:r>
          </w:p>
        </w:tc>
        <w:tc>
          <w:p>
            <w:pPr>
              <w:pStyle w:val="Compact"/>
              <w:jc w:val="center"/>
            </w:pPr>
            <w:r>
              <w:t xml:space="preserve">4.439</w:t>
            </w:r>
          </w:p>
        </w:tc>
        <w:tc>
          <w:p>
            <w:pPr>
              <w:pStyle w:val="Compact"/>
              <w:jc w:val="center"/>
            </w:pPr>
            <w:r>
              <w:t xml:space="preserve">364.1</w:t>
            </w:r>
          </w:p>
        </w:tc>
        <w:tc>
          <w:p>
            <w:pPr>
              <w:pStyle w:val="Compact"/>
              <w:jc w:val="center"/>
            </w:pPr>
            <w:r>
              <w:t xml:space="preserve">302.6</w:t>
            </w:r>
          </w:p>
        </w:tc>
        <w:tc>
          <w:p>
            <w:pPr>
              <w:pStyle w:val="Compact"/>
              <w:jc w:val="center"/>
            </w:pPr>
            <w:r>
              <w:t xml:space="preserve">50.83</w:t>
            </w:r>
          </w:p>
        </w:tc>
        <w:tc>
          <w:p>
            <w:pPr>
              <w:pStyle w:val="Compact"/>
              <w:jc w:val="center"/>
            </w:pPr>
            <w:r>
              <w:t xml:space="preserve">10.220</w:t>
            </w:r>
          </w:p>
        </w:tc>
        <w:tc>
          <w:p>
            <w:pPr>
              <w:pStyle w:val="Compact"/>
              <w:jc w:val="center"/>
            </w:pPr>
            <w:r>
              <w:t xml:space="preserve">12.61</w:t>
            </w:r>
          </w:p>
        </w:tc>
        <w:tc>
          <w:p>
            <w:pPr>
              <w:pStyle w:val="Compact"/>
              <w:jc w:val="center"/>
            </w:pPr>
            <w:r>
              <w:t xml:space="preserve">29.88</w:t>
            </w:r>
          </w:p>
        </w:tc>
        <w:tc>
          <w:p>
            <w:pPr>
              <w:pStyle w:val="Compact"/>
              <w:jc w:val="center"/>
            </w:pPr>
            <w:r>
              <w:t xml:space="preserve">717.6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3.926</w:t>
            </w:r>
          </w:p>
        </w:tc>
        <w:tc>
          <w:p>
            <w:pPr>
              <w:pStyle w:val="Compact"/>
              <w:jc w:val="center"/>
            </w:pPr>
            <w:r>
              <w:t xml:space="preserve">4.248</w:t>
            </w:r>
          </w:p>
        </w:tc>
        <w:tc>
          <w:p>
            <w:pPr>
              <w:pStyle w:val="Compact"/>
              <w:jc w:val="center"/>
            </w:pPr>
            <w:r>
              <w:t xml:space="preserve">358.8</w:t>
            </w:r>
          </w:p>
        </w:tc>
        <w:tc>
          <w:p>
            <w:pPr>
              <w:pStyle w:val="Compact"/>
              <w:jc w:val="center"/>
            </w:pPr>
            <w:r>
              <w:t xml:space="preserve">305.3</w:t>
            </w:r>
          </w:p>
        </w:tc>
        <w:tc>
          <w:p>
            <w:pPr>
              <w:pStyle w:val="Compact"/>
              <w:jc w:val="center"/>
            </w:pPr>
            <w:r>
              <w:t xml:space="preserve">50.33</w:t>
            </w:r>
          </w:p>
        </w:tc>
        <w:tc>
          <w:p>
            <w:pPr>
              <w:pStyle w:val="Compact"/>
              <w:jc w:val="center"/>
            </w:pPr>
            <w:r>
              <w:t xml:space="preserve">10.040</w:t>
            </w:r>
          </w:p>
        </w:tc>
        <w:tc>
          <w:p>
            <w:pPr>
              <w:pStyle w:val="Compact"/>
              <w:jc w:val="center"/>
            </w:pPr>
            <w:r>
              <w:t xml:space="preserve">12.67</w:t>
            </w:r>
          </w:p>
        </w:tc>
        <w:tc>
          <w:p>
            <w:pPr>
              <w:pStyle w:val="Compact"/>
              <w:jc w:val="center"/>
            </w:pPr>
            <w:r>
              <w:t xml:space="preserve">29.53</w:t>
            </w:r>
          </w:p>
        </w:tc>
        <w:tc>
          <w:p>
            <w:pPr>
              <w:pStyle w:val="Compact"/>
              <w:jc w:val="center"/>
            </w:pPr>
            <w:r>
              <w:t xml:space="preserve">714.4</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3.912</w:t>
            </w:r>
          </w:p>
        </w:tc>
        <w:tc>
          <w:p>
            <w:pPr>
              <w:pStyle w:val="Compact"/>
              <w:jc w:val="center"/>
            </w:pPr>
            <w:r>
              <w:t xml:space="preserve">4.168</w:t>
            </w:r>
          </w:p>
        </w:tc>
        <w:tc>
          <w:p>
            <w:pPr>
              <w:pStyle w:val="Compact"/>
              <w:jc w:val="center"/>
            </w:pPr>
            <w:r>
              <w:t xml:space="preserve">364.1</w:t>
            </w:r>
          </w:p>
        </w:tc>
        <w:tc>
          <w:p>
            <w:pPr>
              <w:pStyle w:val="Compact"/>
              <w:jc w:val="center"/>
            </w:pPr>
            <w:r>
              <w:t xml:space="preserve">298.7</w:t>
            </w:r>
          </w:p>
        </w:tc>
        <w:tc>
          <w:p>
            <w:pPr>
              <w:pStyle w:val="Compact"/>
              <w:jc w:val="center"/>
            </w:pPr>
            <w:r>
              <w:t xml:space="preserve">49.93</w:t>
            </w:r>
          </w:p>
        </w:tc>
        <w:tc>
          <w:p>
            <w:pPr>
              <w:pStyle w:val="Compact"/>
              <w:jc w:val="center"/>
            </w:pPr>
            <w:r>
              <w:t xml:space="preserve">10.190</w:t>
            </w:r>
          </w:p>
        </w:tc>
        <w:tc>
          <w:p>
            <w:pPr>
              <w:pStyle w:val="Compact"/>
              <w:jc w:val="center"/>
            </w:pPr>
            <w:r>
              <w:t xml:space="preserve">12.41</w:t>
            </w:r>
          </w:p>
        </w:tc>
        <w:tc>
          <w:p>
            <w:pPr>
              <w:pStyle w:val="Compact"/>
              <w:jc w:val="center"/>
            </w:pPr>
            <w:r>
              <w:t xml:space="preserve">29.64</w:t>
            </w:r>
          </w:p>
        </w:tc>
        <w:tc>
          <w:p>
            <w:pPr>
              <w:pStyle w:val="Compact"/>
              <w:jc w:val="center"/>
            </w:pPr>
            <w:r>
              <w:t xml:space="preserve">712.6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3.876</w:t>
            </w:r>
          </w:p>
        </w:tc>
        <w:tc>
          <w:p>
            <w:pPr>
              <w:pStyle w:val="Compact"/>
              <w:jc w:val="center"/>
            </w:pPr>
            <w:r>
              <w:t xml:space="preserve">4.071</w:t>
            </w:r>
          </w:p>
        </w:tc>
        <w:tc>
          <w:p>
            <w:pPr>
              <w:pStyle w:val="Compact"/>
              <w:jc w:val="center"/>
            </w:pPr>
            <w:r>
              <w:t xml:space="preserve">352.0</w:t>
            </w:r>
          </w:p>
        </w:tc>
        <w:tc>
          <w:p>
            <w:pPr>
              <w:pStyle w:val="Compact"/>
              <w:jc w:val="center"/>
            </w:pPr>
            <w:r>
              <w:t xml:space="preserve">300.2</w:t>
            </w:r>
          </w:p>
        </w:tc>
        <w:tc>
          <w:p>
            <w:pPr>
              <w:pStyle w:val="Compact"/>
              <w:jc w:val="center"/>
            </w:pPr>
            <w:r>
              <w:t xml:space="preserve">53.35</w:t>
            </w:r>
          </w:p>
        </w:tc>
        <w:tc>
          <w:p>
            <w:pPr>
              <w:pStyle w:val="Compact"/>
              <w:jc w:val="center"/>
            </w:pPr>
            <w:r>
              <w:t xml:space="preserve">9.835</w:t>
            </w:r>
          </w:p>
        </w:tc>
        <w:tc>
          <w:p>
            <w:pPr>
              <w:pStyle w:val="Compact"/>
              <w:jc w:val="center"/>
            </w:pPr>
            <w:r>
              <w:t xml:space="preserve">12.44</w:t>
            </w:r>
          </w:p>
        </w:tc>
        <w:tc>
          <w:p>
            <w:pPr>
              <w:pStyle w:val="Compact"/>
              <w:jc w:val="center"/>
            </w:pPr>
            <w:r>
              <w:t xml:space="preserve">31.19</w:t>
            </w:r>
          </w:p>
        </w:tc>
        <w:tc>
          <w:p>
            <w:pPr>
              <w:pStyle w:val="Compact"/>
              <w:jc w:val="center"/>
            </w:pPr>
            <w:r>
              <w:t xml:space="preserve">705.5</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3.858</w:t>
            </w:r>
          </w:p>
        </w:tc>
        <w:tc>
          <w:p>
            <w:pPr>
              <w:pStyle w:val="Compact"/>
              <w:jc w:val="center"/>
            </w:pPr>
            <w:r>
              <w:t xml:space="preserve">4.115</w:t>
            </w:r>
          </w:p>
        </w:tc>
        <w:tc>
          <w:p>
            <w:pPr>
              <w:pStyle w:val="Compact"/>
              <w:jc w:val="center"/>
            </w:pPr>
            <w:r>
              <w:t xml:space="preserve">358.3</w:t>
            </w:r>
          </w:p>
        </w:tc>
        <w:tc>
          <w:p>
            <w:pPr>
              <w:pStyle w:val="Compact"/>
              <w:jc w:val="center"/>
            </w:pPr>
            <w:r>
              <w:t xml:space="preserve">292.1</w:t>
            </w:r>
          </w:p>
        </w:tc>
        <w:tc>
          <w:p>
            <w:pPr>
              <w:pStyle w:val="Compact"/>
              <w:jc w:val="center"/>
            </w:pPr>
            <w:r>
              <w:t xml:space="preserve">52.27</w:t>
            </w:r>
          </w:p>
        </w:tc>
        <w:tc>
          <w:p>
            <w:pPr>
              <w:pStyle w:val="Compact"/>
              <w:jc w:val="center"/>
            </w:pPr>
            <w:r>
              <w:t xml:space="preserve">10.030</w:t>
            </w:r>
          </w:p>
        </w:tc>
        <w:tc>
          <w:p>
            <w:pPr>
              <w:pStyle w:val="Compact"/>
              <w:jc w:val="center"/>
            </w:pPr>
            <w:r>
              <w:t xml:space="preserve">12.14</w:t>
            </w:r>
          </w:p>
        </w:tc>
        <w:tc>
          <w:p>
            <w:pPr>
              <w:pStyle w:val="Compact"/>
              <w:jc w:val="center"/>
            </w:pPr>
            <w:r>
              <w:t xml:space="preserve">30.88</w:t>
            </w:r>
          </w:p>
        </w:tc>
        <w:tc>
          <w:p>
            <w:pPr>
              <w:pStyle w:val="Compact"/>
              <w:jc w:val="center"/>
            </w:pPr>
            <w:r>
              <w:t xml:space="preserve">702.7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3.852</w:t>
            </w:r>
          </w:p>
        </w:tc>
        <w:tc>
          <w:p>
            <w:pPr>
              <w:pStyle w:val="Compact"/>
              <w:jc w:val="center"/>
            </w:pPr>
            <w:r>
              <w:t xml:space="preserve">4.021</w:t>
            </w:r>
          </w:p>
        </w:tc>
        <w:tc>
          <w:p>
            <w:pPr>
              <w:pStyle w:val="Compact"/>
              <w:jc w:val="center"/>
            </w:pPr>
            <w:r>
              <w:t xml:space="preserve">355.8</w:t>
            </w:r>
          </w:p>
        </w:tc>
        <w:tc>
          <w:p>
            <w:pPr>
              <w:pStyle w:val="Compact"/>
              <w:jc w:val="center"/>
            </w:pPr>
            <w:r>
              <w:t xml:space="preserve">293.8</w:t>
            </w:r>
          </w:p>
        </w:tc>
        <w:tc>
          <w:p>
            <w:pPr>
              <w:pStyle w:val="Compact"/>
              <w:jc w:val="center"/>
            </w:pPr>
            <w:r>
              <w:t xml:space="preserve">52.00</w:t>
            </w:r>
          </w:p>
        </w:tc>
        <w:tc>
          <w:p>
            <w:pPr>
              <w:pStyle w:val="Compact"/>
              <w:jc w:val="center"/>
            </w:pPr>
            <w:r>
              <w:t xml:space="preserve">9.962</w:t>
            </w:r>
          </w:p>
        </w:tc>
        <w:tc>
          <w:p>
            <w:pPr>
              <w:pStyle w:val="Compact"/>
              <w:jc w:val="center"/>
            </w:pPr>
            <w:r>
              <w:t xml:space="preserve">12.19</w:t>
            </w:r>
          </w:p>
        </w:tc>
        <w:tc>
          <w:p>
            <w:pPr>
              <w:pStyle w:val="Compact"/>
              <w:jc w:val="center"/>
            </w:pPr>
            <w:r>
              <w:t xml:space="preserve">30.72</w:t>
            </w:r>
          </w:p>
        </w:tc>
        <w:tc>
          <w:p>
            <w:pPr>
              <w:pStyle w:val="Compact"/>
              <w:jc w:val="center"/>
            </w:pPr>
            <w:r>
              <w:t xml:space="preserve">701.6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3.812</w:t>
            </w:r>
          </w:p>
        </w:tc>
        <w:tc>
          <w:p>
            <w:pPr>
              <w:pStyle w:val="Compact"/>
              <w:jc w:val="center"/>
            </w:pPr>
            <w:r>
              <w:t xml:space="preserve">3.919</w:t>
            </w:r>
          </w:p>
        </w:tc>
        <w:tc>
          <w:p>
            <w:pPr>
              <w:pStyle w:val="Compact"/>
              <w:jc w:val="center"/>
            </w:pPr>
            <w:r>
              <w:t xml:space="preserve">350.7</w:t>
            </w:r>
          </w:p>
        </w:tc>
        <w:tc>
          <w:p>
            <w:pPr>
              <w:pStyle w:val="Compact"/>
              <w:jc w:val="center"/>
            </w:pPr>
            <w:r>
              <w:t xml:space="preserve">289.7</w:t>
            </w:r>
          </w:p>
        </w:tc>
        <w:tc>
          <w:p>
            <w:pPr>
              <w:pStyle w:val="Compact"/>
              <w:jc w:val="center"/>
            </w:pPr>
            <w:r>
              <w:t xml:space="preserve">53.54</w:t>
            </w:r>
          </w:p>
        </w:tc>
        <w:tc>
          <w:p>
            <w:pPr>
              <w:pStyle w:val="Compact"/>
              <w:jc w:val="center"/>
            </w:pPr>
            <w:r>
              <w:t xml:space="preserve">9.819</w:t>
            </w:r>
          </w:p>
        </w:tc>
        <w:tc>
          <w:p>
            <w:pPr>
              <w:pStyle w:val="Compact"/>
              <w:jc w:val="center"/>
            </w:pPr>
            <w:r>
              <w:t xml:space="preserve">12.01</w:t>
            </w:r>
          </w:p>
        </w:tc>
        <w:tc>
          <w:p>
            <w:pPr>
              <w:pStyle w:val="Compact"/>
              <w:jc w:val="center"/>
            </w:pPr>
            <w:r>
              <w:t xml:space="preserve">31.56</w:t>
            </w:r>
          </w:p>
        </w:tc>
        <w:tc>
          <w:p>
            <w:pPr>
              <w:pStyle w:val="Compact"/>
              <w:jc w:val="center"/>
            </w:pPr>
            <w:r>
              <w:t xml:space="preserve">693.9</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3.799</w:t>
            </w:r>
          </w:p>
        </w:tc>
        <w:tc>
          <w:p>
            <w:pPr>
              <w:pStyle w:val="Compact"/>
              <w:jc w:val="center"/>
            </w:pPr>
            <w:r>
              <w:t xml:space="preserve">4.154</w:t>
            </w:r>
          </w:p>
        </w:tc>
        <w:tc>
          <w:p>
            <w:pPr>
              <w:pStyle w:val="Compact"/>
              <w:jc w:val="center"/>
            </w:pPr>
            <w:r>
              <w:t xml:space="preserve">347.1</w:t>
            </w:r>
          </w:p>
        </w:tc>
        <w:tc>
          <w:p>
            <w:pPr>
              <w:pStyle w:val="Compact"/>
              <w:jc w:val="center"/>
            </w:pPr>
            <w:r>
              <w:t xml:space="preserve">288.5</w:t>
            </w:r>
          </w:p>
        </w:tc>
        <w:tc>
          <w:p>
            <w:pPr>
              <w:pStyle w:val="Compact"/>
              <w:jc w:val="center"/>
            </w:pPr>
            <w:r>
              <w:t xml:space="preserve">56.02</w:t>
            </w:r>
          </w:p>
        </w:tc>
        <w:tc>
          <w:p>
            <w:pPr>
              <w:pStyle w:val="Compact"/>
              <w:jc w:val="center"/>
            </w:pPr>
            <w:r>
              <w:t xml:space="preserve">9.712</w:t>
            </w:r>
          </w:p>
        </w:tc>
        <w:tc>
          <w:p>
            <w:pPr>
              <w:pStyle w:val="Compact"/>
              <w:jc w:val="center"/>
            </w:pPr>
            <w:r>
              <w:t xml:space="preserve">11.98</w:t>
            </w:r>
          </w:p>
        </w:tc>
        <w:tc>
          <w:p>
            <w:pPr>
              <w:pStyle w:val="Compact"/>
              <w:jc w:val="center"/>
            </w:pPr>
            <w:r>
              <w:t xml:space="preserve">32.63</w:t>
            </w:r>
          </w:p>
        </w:tc>
        <w:tc>
          <w:p>
            <w:pPr>
              <w:pStyle w:val="Compact"/>
              <w:jc w:val="center"/>
            </w:pPr>
            <w:r>
              <w:t xml:space="preserve">691.6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3.771</w:t>
            </w:r>
          </w:p>
        </w:tc>
        <w:tc>
          <w:p>
            <w:pPr>
              <w:pStyle w:val="Compact"/>
              <w:jc w:val="center"/>
            </w:pPr>
            <w:r>
              <w:t xml:space="preserve">3.949</w:t>
            </w:r>
          </w:p>
        </w:tc>
        <w:tc>
          <w:p>
            <w:pPr>
              <w:pStyle w:val="Compact"/>
              <w:jc w:val="center"/>
            </w:pPr>
            <w:r>
              <w:t xml:space="preserve">347.5</w:t>
            </w:r>
          </w:p>
        </w:tc>
        <w:tc>
          <w:p>
            <w:pPr>
              <w:pStyle w:val="Compact"/>
              <w:jc w:val="center"/>
            </w:pPr>
            <w:r>
              <w:t xml:space="preserve">283.3</w:t>
            </w:r>
          </w:p>
        </w:tc>
        <w:tc>
          <w:p>
            <w:pPr>
              <w:pStyle w:val="Compact"/>
              <w:jc w:val="center"/>
            </w:pPr>
            <w:r>
              <w:t xml:space="preserve">54.89</w:t>
            </w:r>
          </w:p>
        </w:tc>
        <w:tc>
          <w:p>
            <w:pPr>
              <w:pStyle w:val="Compact"/>
              <w:jc w:val="center"/>
            </w:pPr>
            <w:r>
              <w:t xml:space="preserve">9.735</w:t>
            </w:r>
          </w:p>
        </w:tc>
        <w:tc>
          <w:p>
            <w:pPr>
              <w:pStyle w:val="Compact"/>
              <w:jc w:val="center"/>
            </w:pPr>
            <w:r>
              <w:t xml:space="preserve">11.76</w:t>
            </w:r>
          </w:p>
        </w:tc>
        <w:tc>
          <w:p>
            <w:pPr>
              <w:pStyle w:val="Compact"/>
              <w:jc w:val="center"/>
            </w:pPr>
            <w:r>
              <w:t xml:space="preserve">32.30</w:t>
            </w:r>
          </w:p>
        </w:tc>
        <w:tc>
          <w:p>
            <w:pPr>
              <w:pStyle w:val="Compact"/>
              <w:jc w:val="center"/>
            </w:pPr>
            <w:r>
              <w:t xml:space="preserve">685.7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3.721</w:t>
            </w:r>
          </w:p>
        </w:tc>
        <w:tc>
          <w:p>
            <w:pPr>
              <w:pStyle w:val="Compact"/>
              <w:jc w:val="center"/>
            </w:pPr>
            <w:r>
              <w:t xml:space="preserve">3.739</w:t>
            </w:r>
          </w:p>
        </w:tc>
        <w:tc>
          <w:p>
            <w:pPr>
              <w:pStyle w:val="Compact"/>
              <w:jc w:val="center"/>
            </w:pPr>
            <w:r>
              <w:t xml:space="preserve">346.8</w:t>
            </w:r>
          </w:p>
        </w:tc>
        <w:tc>
          <w:p>
            <w:pPr>
              <w:pStyle w:val="Compact"/>
              <w:jc w:val="center"/>
            </w:pPr>
            <w:r>
              <w:t xml:space="preserve">276.5</w:t>
            </w:r>
          </w:p>
        </w:tc>
        <w:tc>
          <w:p>
            <w:pPr>
              <w:pStyle w:val="Compact"/>
              <w:jc w:val="center"/>
            </w:pPr>
            <w:r>
              <w:t xml:space="preserve">53.45</w:t>
            </w:r>
          </w:p>
        </w:tc>
        <w:tc>
          <w:p>
            <w:pPr>
              <w:pStyle w:val="Compact"/>
              <w:jc w:val="center"/>
            </w:pPr>
            <w:r>
              <w:t xml:space="preserve">9.734</w:t>
            </w:r>
          </w:p>
        </w:tc>
        <w:tc>
          <w:p>
            <w:pPr>
              <w:pStyle w:val="Compact"/>
              <w:jc w:val="center"/>
            </w:pPr>
            <w:r>
              <w:t xml:space="preserve">11.47</w:t>
            </w:r>
          </w:p>
        </w:tc>
        <w:tc>
          <w:p>
            <w:pPr>
              <w:pStyle w:val="Compact"/>
              <w:jc w:val="center"/>
            </w:pPr>
            <w:r>
              <w:t xml:space="preserve">31.74</w:t>
            </w:r>
          </w:p>
        </w:tc>
        <w:tc>
          <w:p>
            <w:pPr>
              <w:pStyle w:val="Compact"/>
              <w:jc w:val="center"/>
            </w:pPr>
            <w:r>
              <w:t xml:space="preserve">676.7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3.713</w:t>
            </w:r>
          </w:p>
        </w:tc>
        <w:tc>
          <w:p>
            <w:pPr>
              <w:pStyle w:val="Compact"/>
              <w:jc w:val="center"/>
            </w:pPr>
            <w:r>
              <w:t xml:space="preserve">3.969</w:t>
            </w:r>
          </w:p>
        </w:tc>
        <w:tc>
          <w:p>
            <w:pPr>
              <w:pStyle w:val="Compact"/>
              <w:jc w:val="center"/>
            </w:pPr>
            <w:r>
              <w:t xml:space="preserve">338.3</w:t>
            </w:r>
          </w:p>
        </w:tc>
        <w:tc>
          <w:p>
            <w:pPr>
              <w:pStyle w:val="Compact"/>
              <w:jc w:val="center"/>
            </w:pPr>
            <w:r>
              <w:t xml:space="preserve">281.2</w:t>
            </w:r>
          </w:p>
        </w:tc>
        <w:tc>
          <w:p>
            <w:pPr>
              <w:pStyle w:val="Compact"/>
              <w:jc w:val="center"/>
            </w:pPr>
            <w:r>
              <w:t xml:space="preserve">56.10</w:t>
            </w:r>
          </w:p>
        </w:tc>
        <w:tc>
          <w:p>
            <w:pPr>
              <w:pStyle w:val="Compact"/>
              <w:jc w:val="center"/>
            </w:pPr>
            <w:r>
              <w:t xml:space="preserve">9.469</w:t>
            </w:r>
          </w:p>
        </w:tc>
        <w:tc>
          <w:p>
            <w:pPr>
              <w:pStyle w:val="Compact"/>
              <w:jc w:val="center"/>
            </w:pPr>
            <w:r>
              <w:t xml:space="preserve">11.66</w:t>
            </w:r>
          </w:p>
        </w:tc>
        <w:tc>
          <w:p>
            <w:pPr>
              <w:pStyle w:val="Compact"/>
              <w:jc w:val="center"/>
            </w:pPr>
            <w:r>
              <w:t xml:space="preserve">32.89</w:t>
            </w:r>
          </w:p>
        </w:tc>
        <w:tc>
          <w:p>
            <w:pPr>
              <w:pStyle w:val="Compact"/>
              <w:jc w:val="center"/>
            </w:pPr>
            <w:r>
              <w:t xml:space="preserve">675.5</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3.708</w:t>
            </w:r>
          </w:p>
        </w:tc>
        <w:tc>
          <w:p>
            <w:pPr>
              <w:pStyle w:val="Compact"/>
              <w:jc w:val="center"/>
            </w:pPr>
            <w:r>
              <w:t xml:space="preserve">3.848</w:t>
            </w:r>
          </w:p>
        </w:tc>
        <w:tc>
          <w:p>
            <w:pPr>
              <w:pStyle w:val="Compact"/>
              <w:jc w:val="center"/>
            </w:pPr>
            <w:r>
              <w:t xml:space="preserve">341.6</w:t>
            </w:r>
          </w:p>
        </w:tc>
        <w:tc>
          <w:p>
            <w:pPr>
              <w:pStyle w:val="Compact"/>
              <w:jc w:val="center"/>
            </w:pPr>
            <w:r>
              <w:t xml:space="preserve">278.6</w:t>
            </w:r>
          </w:p>
        </w:tc>
        <w:tc>
          <w:p>
            <w:pPr>
              <w:pStyle w:val="Compact"/>
              <w:jc w:val="center"/>
            </w:pPr>
            <w:r>
              <w:t xml:space="preserve">54.71</w:t>
            </w:r>
          </w:p>
        </w:tc>
        <w:tc>
          <w:p>
            <w:pPr>
              <w:pStyle w:val="Compact"/>
              <w:jc w:val="center"/>
            </w:pPr>
            <w:r>
              <w:t xml:space="preserve">9.577</w:t>
            </w:r>
          </w:p>
        </w:tc>
        <w:tc>
          <w:p>
            <w:pPr>
              <w:pStyle w:val="Compact"/>
              <w:jc w:val="center"/>
            </w:pPr>
            <w:r>
              <w:t xml:space="preserve">11.55</w:t>
            </w:r>
          </w:p>
        </w:tc>
        <w:tc>
          <w:p>
            <w:pPr>
              <w:pStyle w:val="Compact"/>
              <w:jc w:val="center"/>
            </w:pPr>
            <w:r>
              <w:t xml:space="preserve">32.28</w:t>
            </w:r>
          </w:p>
        </w:tc>
        <w:tc>
          <w:p>
            <w:pPr>
              <w:pStyle w:val="Compact"/>
              <w:jc w:val="center"/>
            </w:pPr>
            <w:r>
              <w:t xml:space="preserve">674.9</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w:t>
      </w:r>
      <w:r>
        <w:t xml:space="preserve"> </w:t>
      </w:r>
      <w:r>
        <w:t xml:space="preserve">. Conservation performance</w:t>
      </w:r>
      <w:r>
        <w:t xml:space="preserve"> </w:t>
      </w:r>
      <w:r>
        <w:t xml:space="preserve">metrics that pass the criteria in the header are indicated by a bullet. Catch is given in</w:t>
      </w:r>
      <w:r>
        <w:t xml:space="preserve"> </w:t>
      </w:r>
      <w:r>
        <w:t xml:space="preserve">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w:t>
      </w:r>
      <w:r>
        <w:t xml:space="preserve"> </w:t>
      </w:r>
      <w:r>
        <w:t xml:space="preserve">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0.07</w:t>
            </w:r>
          </w:p>
        </w:tc>
        <w:tc>
          <w:p>
            <w:pPr>
              <w:pStyle w:val="Compact"/>
              <w:jc w:val="center"/>
            </w:pPr>
            <w:r>
              <w:t xml:space="preserve">2.760</w:t>
            </w:r>
          </w:p>
        </w:tc>
        <w:tc>
          <w:p>
            <w:pPr>
              <w:pStyle w:val="Compact"/>
              <w:jc w:val="center"/>
            </w:pPr>
            <w:r>
              <w:t xml:space="preserve">2.778</w:t>
            </w:r>
          </w:p>
        </w:tc>
        <w:tc>
          <w:p>
            <w:pPr>
              <w:pStyle w:val="Compact"/>
              <w:jc w:val="center"/>
            </w:pPr>
            <w:r>
              <w:t xml:space="preserve">9</w:t>
            </w:r>
          </w:p>
        </w:tc>
        <w:tc>
          <w:p>
            <w:pPr>
              <w:pStyle w:val="Compact"/>
              <w:jc w:val="center"/>
            </w:pPr>
            <w:r>
              <w:t xml:space="preserve">3.05</w:t>
            </w:r>
          </w:p>
        </w:tc>
        <w:tc>
          <w:p>
            <w:pPr>
              <w:pStyle w:val="Compact"/>
              <w:jc w:val="center"/>
            </w:pPr>
            <w:r>
              <w:t xml:space="preserve">0.24</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0.14</w:t>
            </w:r>
          </w:p>
        </w:tc>
        <w:tc>
          <w:p>
            <w:pPr>
              <w:pStyle w:val="Compact"/>
              <w:jc w:val="center"/>
            </w:pPr>
            <w:r>
              <w:t xml:space="preserve">2.489</w:t>
            </w:r>
          </w:p>
        </w:tc>
        <w:tc>
          <w:p>
            <w:pPr>
              <w:pStyle w:val="Compact"/>
              <w:jc w:val="center"/>
            </w:pPr>
            <w:r>
              <w:t xml:space="preserve">2.889</w:t>
            </w:r>
          </w:p>
        </w:tc>
        <w:tc>
          <w:p>
            <w:pPr>
              <w:pStyle w:val="Compact"/>
              <w:jc w:val="center"/>
            </w:pPr>
            <w:r>
              <w:t xml:space="preserve">11</w:t>
            </w:r>
          </w:p>
        </w:tc>
        <w:tc>
          <w:p>
            <w:pPr>
              <w:pStyle w:val="Compact"/>
              <w:jc w:val="center"/>
            </w:pPr>
            <w:r>
              <w:t xml:space="preserve">3.11</w:t>
            </w:r>
          </w:p>
        </w:tc>
        <w:tc>
          <w:p>
            <w:pPr>
              <w:pStyle w:val="Compact"/>
              <w:jc w:val="center"/>
            </w:pPr>
            <w:r>
              <w:t xml:space="preserve">0.24</w:t>
            </w:r>
          </w:p>
        </w:tc>
        <w:tc>
          <w:p>
            <w:pPr>
              <w:pStyle w:val="Compact"/>
              <w:jc w:val="center"/>
            </w:pPr>
            <w:r>
              <w:t xml:space="preserve">0.0724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0.16</w:t>
            </w:r>
          </w:p>
        </w:tc>
        <w:tc>
          <w:p>
            <w:pPr>
              <w:pStyle w:val="Compact"/>
              <w:jc w:val="center"/>
            </w:pPr>
            <w:r>
              <w:t xml:space="preserve">2.428</w:t>
            </w:r>
          </w:p>
        </w:tc>
        <w:tc>
          <w:p>
            <w:pPr>
              <w:pStyle w:val="Compact"/>
              <w:jc w:val="center"/>
            </w:pPr>
            <w:r>
              <w:t xml:space="preserve">2.673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0.0655</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0.17</w:t>
            </w:r>
          </w:p>
        </w:tc>
        <w:tc>
          <w:p>
            <w:pPr>
              <w:pStyle w:val="Compact"/>
              <w:jc w:val="center"/>
            </w:pPr>
            <w:r>
              <w:t xml:space="preserve">2.418</w:t>
            </w:r>
          </w:p>
        </w:tc>
        <w:tc>
          <w:p>
            <w:pPr>
              <w:pStyle w:val="Compact"/>
              <w:jc w:val="center"/>
            </w:pPr>
            <w:r>
              <w:t xml:space="preserve">2.633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0.0644</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2.383</w:t>
            </w:r>
          </w:p>
        </w:tc>
        <w:tc>
          <w:p>
            <w:pPr>
              <w:pStyle w:val="Compact"/>
              <w:jc w:val="center"/>
            </w:pPr>
            <w:r>
              <w:t xml:space="preserve">2.515</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0.0606</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2.362</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0.0590</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2.350</w:t>
            </w:r>
          </w:p>
        </w:tc>
        <w:tc>
          <w:p>
            <w:pPr>
              <w:pStyle w:val="Compact"/>
              <w:jc w:val="center"/>
            </w:pPr>
            <w:r>
              <w:t xml:space="preserve">2.597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0.0628</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2.344</w:t>
            </w:r>
          </w:p>
        </w:tc>
        <w:tc>
          <w:p>
            <w:pPr>
              <w:pStyle w:val="Compact"/>
              <w:jc w:val="center"/>
            </w:pPr>
            <w:r>
              <w:t xml:space="preserve">2.410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0.0572</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2.334</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0.0589</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2.330</w:t>
            </w:r>
          </w:p>
        </w:tc>
        <w:tc>
          <w:p>
            <w:pPr>
              <w:pStyle w:val="Compact"/>
              <w:jc w:val="center"/>
            </w:pPr>
            <w:r>
              <w:t xml:space="preserve">2.371</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0.0562</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2.310</w:t>
            </w:r>
          </w:p>
        </w:tc>
        <w:tc>
          <w:p>
            <w:pPr>
              <w:pStyle w:val="Compact"/>
              <w:jc w:val="center"/>
            </w:pPr>
            <w:r>
              <w:t xml:space="preserve">2.340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0.0551</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2.295</w:t>
            </w:r>
          </w:p>
        </w:tc>
        <w:tc>
          <w:p>
            <w:pPr>
              <w:pStyle w:val="Compact"/>
              <w:jc w:val="center"/>
            </w:pPr>
            <w:r>
              <w:t xml:space="preserve">2.428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0.0576</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2.287</w:t>
            </w:r>
          </w:p>
        </w:tc>
        <w:tc>
          <w:p>
            <w:pPr>
              <w:pStyle w:val="Compact"/>
              <w:jc w:val="center"/>
            </w:pPr>
            <w:r>
              <w:t xml:space="preserve">2.330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0.0546</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2.282</w:t>
            </w:r>
          </w:p>
        </w:tc>
        <w:tc>
          <w:p>
            <w:pPr>
              <w:pStyle w:val="Compact"/>
              <w:jc w:val="center"/>
            </w:pPr>
            <w:r>
              <w:t xml:space="preserve">2.293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2.280</w:t>
            </w:r>
          </w:p>
        </w:tc>
        <w:tc>
          <w:p>
            <w:pPr>
              <w:pStyle w:val="Compact"/>
              <w:jc w:val="center"/>
            </w:pPr>
            <w:r>
              <w:t xml:space="preserve">2.357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0.0554</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2.277</w:t>
            </w:r>
          </w:p>
        </w:tc>
        <w:tc>
          <w:p>
            <w:pPr>
              <w:pStyle w:val="Compact"/>
              <w:jc w:val="center"/>
            </w:pPr>
            <w:r>
              <w:t xml:space="preserve">2.342</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6: Weighted economic performance metrics for the first 10 years of the projections in the</w:t>
      </w:r>
      <w:r>
        <w:t xml:space="preserve"> </w:t>
      </w:r>
      <w:r>
        <w:t xml:space="preserve">. Column 3 shows the average catch over the first 10 years, and</w:t>
      </w:r>
      <w:r>
        <w:t xml:space="preserve"> </w:t>
      </w:r>
      <w:r>
        <w:t xml:space="preserve">the remaining columns show the total cumulative revenue ($m) of catch</w:t>
      </w:r>
      <w:r>
        <w:t xml:space="preserve"> </w:t>
      </w:r>
      <m:oMath>
        <m:r>
          <m:t>C</m:t>
        </m:r>
      </m:oMath>
      <w:r>
        <w:t xml:space="preserve"> </w:t>
      </w:r>
      <w:r>
        <w:t xml:space="preserve">and discards</w:t>
      </w:r>
      <w:r>
        <w:t xml:space="preserve"> </w:t>
      </w:r>
      <m:oMath>
        <m:r>
          <m:t>D</m:t>
        </m:r>
      </m:oMath>
      <w:r>
        <w:t xml:space="preserve"> </w:t>
      </w:r>
      <w:r>
        <w:t xml:space="preserve">for each</w:t>
      </w:r>
      <w:r>
        <w:t xml:space="preserve"> </w:t>
      </w:r>
      <w:r>
        <w:t xml:space="preserve">sector, catch revenue</w:t>
      </w:r>
      <w:r>
        <w:t xml:space="preserve"> </w:t>
      </w:r>
      <m:oMath>
        <m:sSup>
          <m:e>
            <m:r>
              <m:t>C</m:t>
            </m:r>
          </m:e>
          <m:sup>
            <m:r>
              <m:t>t</m:t>
            </m:r>
            <m:r>
              <m:t>o</m:t>
            </m:r>
            <m:r>
              <m:t>t</m:t>
            </m:r>
          </m:sup>
        </m:sSup>
      </m:oMath>
      <w:r>
        <w:t xml:space="preserve"> </w:t>
      </w:r>
      <w:r>
        <w:t xml:space="preserve">for all sectors combined, and</w:t>
      </w:r>
      <w:r>
        <w:t xml:space="preserve"> </w:t>
      </w:r>
      <w:r>
        <w:t xml:space="preserve">the yearly average revenue</w:t>
      </w:r>
      <w:r>
        <w:t xml:space="preserve"> </w:t>
      </w:r>
      <m:oMath>
        <m:r>
          <m:t>R</m:t>
        </m:r>
      </m:oMath>
      <w:r>
        <w:t xml:space="preserve"> </w:t>
      </w:r>
      <w:r>
        <w:t xml:space="preserve">in dollars per tonne of catch, over the next 10 years. All values are</w:t>
      </w:r>
      <w:r>
        <w:t xml:space="preserve"> </w:t>
      </w:r>
      <w:r>
        <w:t xml:space="preserve">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2.760</w:t>
            </w:r>
          </w:p>
        </w:tc>
        <w:tc>
          <w:p>
            <w:pPr>
              <w:pStyle w:val="Compact"/>
              <w:jc w:val="center"/>
            </w:pPr>
            <w:r>
              <w:t xml:space="preserve">2.778</w:t>
            </w:r>
          </w:p>
        </w:tc>
        <w:tc>
          <w:p>
            <w:pPr>
              <w:pStyle w:val="Compact"/>
              <w:jc w:val="center"/>
            </w:pPr>
            <w:r>
              <w:t xml:space="preserve">255.1</w:t>
            </w:r>
          </w:p>
        </w:tc>
        <w:tc>
          <w:p>
            <w:pPr>
              <w:pStyle w:val="Compact"/>
              <w:jc w:val="center"/>
            </w:pPr>
            <w:r>
              <w:t xml:space="preserve">204.9</w:t>
            </w:r>
          </w:p>
        </w:tc>
        <w:tc>
          <w:p>
            <w:pPr>
              <w:pStyle w:val="Compact"/>
              <w:jc w:val="center"/>
            </w:pPr>
            <w:r>
              <w:t xml:space="preserve">36.28</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496.3</w:t>
            </w:r>
          </w:p>
        </w:tc>
        <w:tc>
          <w:p>
            <w:pPr>
              <w:pStyle w:val="Compact"/>
              <w:jc w:val="center"/>
            </w:pPr>
            <w:r>
              <w:t xml:space="preserve">18030</w:t>
            </w:r>
          </w:p>
        </w:tc>
        <w:tc>
          <w:p>
            <w:pPr>
              <w:pStyle w:val="Compact"/>
              <w:jc w:val="left"/>
            </w:pPr>
            <w:r>
              <w:t xml:space="preserve">18340</w:t>
            </w:r>
          </w:p>
        </w:tc>
        <w:tc>
          <w:p>
            <w:pPr>
              <w:pStyle w:val="Compact"/>
              <w:jc w:val="left"/>
            </w:pPr>
            <w:r>
              <w:t xml:space="preserve">15880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2.489</w:t>
            </w:r>
          </w:p>
        </w:tc>
        <w:tc>
          <w:p>
            <w:pPr>
              <w:pStyle w:val="Compact"/>
              <w:jc w:val="center"/>
            </w:pPr>
            <w:r>
              <w:t xml:space="preserve">2.889</w:t>
            </w:r>
          </w:p>
        </w:tc>
        <w:tc>
          <w:p>
            <w:pPr>
              <w:pStyle w:val="Compact"/>
              <w:jc w:val="center"/>
            </w:pPr>
            <w:r>
              <w:t xml:space="preserve">236.3</w:t>
            </w:r>
          </w:p>
        </w:tc>
        <w:tc>
          <w:p>
            <w:pPr>
              <w:pStyle w:val="Compact"/>
              <w:jc w:val="center"/>
            </w:pPr>
            <w:r>
              <w:t xml:space="preserve">194.1</w:t>
            </w:r>
          </w:p>
        </w:tc>
        <w:tc>
          <w:p>
            <w:pPr>
              <w:pStyle w:val="Compact"/>
              <w:jc w:val="center"/>
            </w:pPr>
            <w:r>
              <w:t xml:space="preserve">22.81</w:t>
            </w:r>
          </w:p>
        </w:tc>
        <w:tc>
          <w:p>
            <w:pPr>
              <w:pStyle w:val="Compact"/>
              <w:jc w:val="center"/>
            </w:pPr>
            <w:r>
              <w:t xml:space="preserve">6.243</w:t>
            </w:r>
          </w:p>
        </w:tc>
        <w:tc>
          <w:p>
            <w:pPr>
              <w:pStyle w:val="Compact"/>
              <w:jc w:val="center"/>
            </w:pPr>
            <w:r>
              <w:t xml:space="preserve">7.974</w:t>
            </w:r>
          </w:p>
        </w:tc>
        <w:tc>
          <w:p>
            <w:pPr>
              <w:pStyle w:val="Compact"/>
              <w:jc w:val="center"/>
            </w:pPr>
            <w:r>
              <w:t xml:space="preserve">16.89</w:t>
            </w:r>
          </w:p>
        </w:tc>
        <w:tc>
          <w:p>
            <w:pPr>
              <w:pStyle w:val="Compact"/>
              <w:jc w:val="center"/>
            </w:pPr>
            <w:r>
              <w:t xml:space="preserve">453.3</w:t>
            </w:r>
          </w:p>
        </w:tc>
        <w:tc>
          <w:p>
            <w:pPr>
              <w:pStyle w:val="Compact"/>
              <w:jc w:val="center"/>
            </w:pPr>
            <w:r>
              <w:t xml:space="preserve">18200</w:t>
            </w:r>
          </w:p>
        </w:tc>
        <w:tc>
          <w:p>
            <w:pPr>
              <w:pStyle w:val="Compact"/>
              <w:jc w:val="left"/>
            </w:pPr>
            <w:r>
              <w:t xml:space="preserve">18360</w:t>
            </w:r>
          </w:p>
        </w:tc>
        <w:tc>
          <w:p>
            <w:pPr>
              <w:pStyle w:val="Compact"/>
              <w:jc w:val="left"/>
            </w:pPr>
            <w:r>
              <w:t xml:space="preserve">17180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2.428</w:t>
            </w:r>
          </w:p>
        </w:tc>
        <w:tc>
          <w:p>
            <w:pPr>
              <w:pStyle w:val="Compact"/>
              <w:jc w:val="center"/>
            </w:pPr>
            <w:r>
              <w:t xml:space="preserve">2.673</w:t>
            </w:r>
          </w:p>
        </w:tc>
        <w:tc>
          <w:p>
            <w:pPr>
              <w:pStyle w:val="Compact"/>
              <w:jc w:val="center"/>
            </w:pPr>
            <w:r>
              <w:t xml:space="preserve">226.5</w:t>
            </w:r>
          </w:p>
        </w:tc>
        <w:tc>
          <w:p>
            <w:pPr>
              <w:pStyle w:val="Compact"/>
              <w:jc w:val="center"/>
            </w:pPr>
            <w:r>
              <w:t xml:space="preserve">189.5</w:t>
            </w:r>
          </w:p>
        </w:tc>
        <w:tc>
          <w:p>
            <w:pPr>
              <w:pStyle w:val="Compact"/>
              <w:jc w:val="center"/>
            </w:pPr>
            <w:r>
              <w:t xml:space="preserve">26.23</w:t>
            </w:r>
          </w:p>
        </w:tc>
        <w:tc>
          <w:p>
            <w:pPr>
              <w:pStyle w:val="Compact"/>
              <w:jc w:val="center"/>
            </w:pPr>
            <w:r>
              <w:t xml:space="preserve">5.935</w:t>
            </w:r>
          </w:p>
        </w:tc>
        <w:tc>
          <w:p>
            <w:pPr>
              <w:pStyle w:val="Compact"/>
              <w:jc w:val="center"/>
            </w:pPr>
            <w:r>
              <w:t xml:space="preserve">7.741</w:t>
            </w:r>
          </w:p>
        </w:tc>
        <w:tc>
          <w:p>
            <w:pPr>
              <w:pStyle w:val="Compact"/>
              <w:jc w:val="center"/>
            </w:pPr>
            <w:r>
              <w:t xml:space="preserve">19.55</w:t>
            </w:r>
          </w:p>
        </w:tc>
        <w:tc>
          <w:p>
            <w:pPr>
              <w:pStyle w:val="Compact"/>
              <w:jc w:val="center"/>
            </w:pPr>
            <w:r>
              <w:t xml:space="preserve">442.3</w:t>
            </w:r>
          </w:p>
        </w:tc>
        <w:tc>
          <w:p>
            <w:pPr>
              <w:pStyle w:val="Compact"/>
              <w:jc w:val="center"/>
            </w:pPr>
            <w:r>
              <w:t xml:space="preserve">18200</w:t>
            </w:r>
          </w:p>
        </w:tc>
        <w:tc>
          <w:p>
            <w:pPr>
              <w:pStyle w:val="Compact"/>
              <w:jc w:val="left"/>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2.418</w:t>
            </w:r>
          </w:p>
        </w:tc>
        <w:tc>
          <w:p>
            <w:pPr>
              <w:pStyle w:val="Compact"/>
              <w:jc w:val="center"/>
            </w:pPr>
            <w:r>
              <w:t xml:space="preserve">2.633</w:t>
            </w:r>
          </w:p>
        </w:tc>
        <w:tc>
          <w:p>
            <w:pPr>
              <w:pStyle w:val="Compact"/>
              <w:jc w:val="center"/>
            </w:pPr>
            <w:r>
              <w:t xml:space="preserve">229.0</w:t>
            </w:r>
          </w:p>
        </w:tc>
        <w:tc>
          <w:p>
            <w:pPr>
              <w:pStyle w:val="Compact"/>
              <w:jc w:val="center"/>
            </w:pPr>
            <w:r>
              <w:t xml:space="preserve">185.3</w:t>
            </w:r>
          </w:p>
        </w:tc>
        <w:tc>
          <w:p>
            <w:pPr>
              <w:pStyle w:val="Compact"/>
              <w:jc w:val="center"/>
            </w:pPr>
            <w:r>
              <w:t xml:space="preserve">26.42</w:t>
            </w:r>
          </w:p>
        </w:tc>
        <w:tc>
          <w:p>
            <w:pPr>
              <w:pStyle w:val="Compact"/>
              <w:jc w:val="center"/>
            </w:pPr>
            <w:r>
              <w:t xml:space="preserve">5.996</w:t>
            </w:r>
          </w:p>
        </w:tc>
        <w:tc>
          <w:p>
            <w:pPr>
              <w:pStyle w:val="Compact"/>
              <w:jc w:val="center"/>
            </w:pPr>
            <w:r>
              <w:t xml:space="preserve">7.569</w:t>
            </w:r>
          </w:p>
        </w:tc>
        <w:tc>
          <w:p>
            <w:pPr>
              <w:pStyle w:val="Compact"/>
              <w:jc w:val="center"/>
            </w:pPr>
            <w:r>
              <w:t xml:space="preserve">20.03</w:t>
            </w:r>
          </w:p>
        </w:tc>
        <w:tc>
          <w:p>
            <w:pPr>
              <w:pStyle w:val="Compact"/>
              <w:jc w:val="center"/>
            </w:pPr>
            <w:r>
              <w:t xml:space="preserve">440.7</w:t>
            </w:r>
          </w:p>
        </w:tc>
        <w:tc>
          <w:p>
            <w:pPr>
              <w:pStyle w:val="Compact"/>
              <w:jc w:val="center"/>
            </w:pPr>
            <w:r>
              <w:t xml:space="preserve">18200</w:t>
            </w:r>
          </w:p>
        </w:tc>
        <w:tc>
          <w:p>
            <w:pPr>
              <w:pStyle w:val="Compact"/>
              <w:jc w:val="left"/>
            </w:pPr>
            <w:r>
              <w:t xml:space="preserve">18370</w:t>
            </w:r>
          </w:p>
        </w:tc>
        <w:tc>
          <w:p>
            <w:pPr>
              <w:pStyle w:val="Compact"/>
              <w:jc w:val="left"/>
            </w:pPr>
            <w:r>
              <w:t xml:space="preserve">17220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2.383</w:t>
            </w:r>
          </w:p>
        </w:tc>
        <w:tc>
          <w:p>
            <w:pPr>
              <w:pStyle w:val="Compact"/>
              <w:jc w:val="center"/>
            </w:pPr>
            <w:r>
              <w:t xml:space="preserve">2.515</w:t>
            </w:r>
          </w:p>
        </w:tc>
        <w:tc>
          <w:p>
            <w:pPr>
              <w:pStyle w:val="Compact"/>
              <w:jc w:val="center"/>
            </w:pPr>
            <w:r>
              <w:t xml:space="preserve">222.9</w:t>
            </w:r>
          </w:p>
        </w:tc>
        <w:tc>
          <w:p>
            <w:pPr>
              <w:pStyle w:val="Compact"/>
              <w:jc w:val="center"/>
            </w:pPr>
            <w:r>
              <w:t xml:space="preserve">182.2</w:t>
            </w:r>
          </w:p>
        </w:tc>
        <w:tc>
          <w:p>
            <w:pPr>
              <w:pStyle w:val="Compact"/>
              <w:jc w:val="center"/>
            </w:pPr>
            <w:r>
              <w:t xml:space="preserve">28.59</w:t>
            </w:r>
          </w:p>
        </w:tc>
        <w:tc>
          <w:p>
            <w:pPr>
              <w:pStyle w:val="Compact"/>
              <w:jc w:val="center"/>
            </w:pPr>
            <w:r>
              <w:t xml:space="preserve">5.815</w:t>
            </w:r>
          </w:p>
        </w:tc>
        <w:tc>
          <w:p>
            <w:pPr>
              <w:pStyle w:val="Compact"/>
              <w:jc w:val="center"/>
            </w:pPr>
            <w:r>
              <w:t xml:space="preserve">7.424</w:t>
            </w:r>
          </w:p>
        </w:tc>
        <w:tc>
          <w:p>
            <w:pPr>
              <w:pStyle w:val="Compact"/>
              <w:jc w:val="center"/>
            </w:pPr>
            <w:r>
              <w:t xml:space="preserve">21.73</w:t>
            </w:r>
          </w:p>
        </w:tc>
        <w:tc>
          <w:p>
            <w:pPr>
              <w:pStyle w:val="Compact"/>
              <w:jc w:val="center"/>
            </w:pPr>
            <w:r>
              <w:t xml:space="preserve">433.7</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2.362</w:t>
            </w:r>
          </w:p>
        </w:tc>
        <w:tc>
          <w:p>
            <w:pPr>
              <w:pStyle w:val="Compact"/>
              <w:jc w:val="center"/>
            </w:pPr>
            <w:r>
              <w:t xml:space="preserve">2.468</w:t>
            </w:r>
          </w:p>
        </w:tc>
        <w:tc>
          <w:p>
            <w:pPr>
              <w:pStyle w:val="Compact"/>
              <w:jc w:val="center"/>
            </w:pPr>
            <w:r>
              <w:t xml:space="preserve">217.7</w:t>
            </w:r>
          </w:p>
        </w:tc>
        <w:tc>
          <w:p>
            <w:pPr>
              <w:pStyle w:val="Compact"/>
              <w:jc w:val="center"/>
            </w:pPr>
            <w:r>
              <w:t xml:space="preserve">181.9</w:t>
            </w:r>
          </w:p>
        </w:tc>
        <w:tc>
          <w:p>
            <w:pPr>
              <w:pStyle w:val="Compact"/>
              <w:jc w:val="center"/>
            </w:pPr>
            <w:r>
              <w:t xml:space="preserve">29.25</w:t>
            </w:r>
          </w:p>
        </w:tc>
        <w:tc>
          <w:p>
            <w:pPr>
              <w:pStyle w:val="Compact"/>
              <w:jc w:val="center"/>
            </w:pPr>
            <w:r>
              <w:t xml:space="preserve">5.663</w:t>
            </w:r>
          </w:p>
        </w:tc>
        <w:tc>
          <w:p>
            <w:pPr>
              <w:pStyle w:val="Compact"/>
              <w:jc w:val="center"/>
            </w:pPr>
            <w:r>
              <w:t xml:space="preserve">7.404</w:t>
            </w:r>
          </w:p>
        </w:tc>
        <w:tc>
          <w:p>
            <w:pPr>
              <w:pStyle w:val="Compact"/>
              <w:jc w:val="center"/>
            </w:pPr>
            <w:r>
              <w:t xml:space="preserve">21.91</w:t>
            </w:r>
          </w:p>
        </w:tc>
        <w:tc>
          <w:p>
            <w:pPr>
              <w:pStyle w:val="Compact"/>
              <w:jc w:val="center"/>
            </w:pPr>
            <w:r>
              <w:t xml:space="preserve">428.8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2.350</w:t>
            </w:r>
          </w:p>
        </w:tc>
        <w:tc>
          <w:p>
            <w:pPr>
              <w:pStyle w:val="Compact"/>
              <w:jc w:val="center"/>
            </w:pPr>
            <w:r>
              <w:t xml:space="preserve">2.597</w:t>
            </w:r>
          </w:p>
        </w:tc>
        <w:tc>
          <w:p>
            <w:pPr>
              <w:pStyle w:val="Compact"/>
              <w:jc w:val="center"/>
            </w:pPr>
            <w:r>
              <w:t xml:space="preserve">218.8</w:t>
            </w:r>
          </w:p>
        </w:tc>
        <w:tc>
          <w:p>
            <w:pPr>
              <w:pStyle w:val="Compact"/>
              <w:jc w:val="center"/>
            </w:pPr>
            <w:r>
              <w:t xml:space="preserve">179.5</w:t>
            </w:r>
          </w:p>
        </w:tc>
        <w:tc>
          <w:p>
            <w:pPr>
              <w:pStyle w:val="Compact"/>
              <w:jc w:val="center"/>
            </w:pPr>
            <w:r>
              <w:t xml:space="preserve">29.48</w:t>
            </w:r>
          </w:p>
        </w:tc>
        <w:tc>
          <w:p>
            <w:pPr>
              <w:pStyle w:val="Compact"/>
              <w:jc w:val="center"/>
            </w:pPr>
            <w:r>
              <w:t xml:space="preserve">5.693</w:t>
            </w:r>
          </w:p>
        </w:tc>
        <w:tc>
          <w:p>
            <w:pPr>
              <w:pStyle w:val="Compact"/>
              <w:jc w:val="center"/>
            </w:pPr>
            <w:r>
              <w:t xml:space="preserve">7.309</w:t>
            </w:r>
          </w:p>
        </w:tc>
        <w:tc>
          <w:p>
            <w:pPr>
              <w:pStyle w:val="Compact"/>
              <w:jc w:val="center"/>
            </w:pPr>
            <w:r>
              <w:t xml:space="preserve">22.04</w:t>
            </w:r>
          </w:p>
        </w:tc>
        <w:tc>
          <w:p>
            <w:pPr>
              <w:pStyle w:val="Compact"/>
              <w:jc w:val="center"/>
            </w:pPr>
            <w:r>
              <w:t xml:space="preserve">427.8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2.344</w:t>
            </w:r>
          </w:p>
        </w:tc>
        <w:tc>
          <w:p>
            <w:pPr>
              <w:pStyle w:val="Compact"/>
              <w:jc w:val="center"/>
            </w:pPr>
            <w:r>
              <w:t xml:space="preserve">2.410</w:t>
            </w:r>
          </w:p>
        </w:tc>
        <w:tc>
          <w:p>
            <w:pPr>
              <w:pStyle w:val="Compact"/>
              <w:jc w:val="center"/>
            </w:pPr>
            <w:r>
              <w:t xml:space="preserve">217.7</w:t>
            </w:r>
          </w:p>
        </w:tc>
        <w:tc>
          <w:p>
            <w:pPr>
              <w:pStyle w:val="Compact"/>
              <w:jc w:val="center"/>
            </w:pPr>
            <w:r>
              <w:t xml:space="preserve">177.7</w:t>
            </w:r>
          </w:p>
        </w:tc>
        <w:tc>
          <w:p>
            <w:pPr>
              <w:pStyle w:val="Compact"/>
              <w:jc w:val="center"/>
            </w:pPr>
            <w:r>
              <w:t xml:space="preserve">30.60</w:t>
            </w:r>
          </w:p>
        </w:tc>
        <w:tc>
          <w:p>
            <w:pPr>
              <w:pStyle w:val="Compact"/>
              <w:jc w:val="center"/>
            </w:pPr>
            <w:r>
              <w:t xml:space="preserve">5.655</w:t>
            </w:r>
          </w:p>
        </w:tc>
        <w:tc>
          <w:p>
            <w:pPr>
              <w:pStyle w:val="Compact"/>
              <w:jc w:val="center"/>
            </w:pPr>
            <w:r>
              <w:t xml:space="preserve">7.228</w:t>
            </w:r>
          </w:p>
        </w:tc>
        <w:tc>
          <w:p>
            <w:pPr>
              <w:pStyle w:val="Compact"/>
              <w:jc w:val="center"/>
            </w:pPr>
            <w:r>
              <w:t xml:space="preserve">23.29</w:t>
            </w:r>
          </w:p>
        </w:tc>
        <w:tc>
          <w:p>
            <w:pPr>
              <w:pStyle w:val="Compact"/>
              <w:jc w:val="center"/>
            </w:pPr>
            <w:r>
              <w:t xml:space="preserve">426.1</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2.334</w:t>
            </w:r>
          </w:p>
        </w:tc>
        <w:tc>
          <w:p>
            <w:pPr>
              <w:pStyle w:val="Compact"/>
              <w:jc w:val="center"/>
            </w:pPr>
            <w:r>
              <w:t xml:space="preserve">2.468</w:t>
            </w:r>
          </w:p>
        </w:tc>
        <w:tc>
          <w:p>
            <w:pPr>
              <w:pStyle w:val="Compact"/>
              <w:jc w:val="center"/>
            </w:pPr>
            <w:r>
              <w:t xml:space="preserve">217.9</w:t>
            </w:r>
          </w:p>
        </w:tc>
        <w:tc>
          <w:p>
            <w:pPr>
              <w:pStyle w:val="Compact"/>
              <w:jc w:val="center"/>
            </w:pPr>
            <w:r>
              <w:t xml:space="preserve">176.2</w:t>
            </w:r>
          </w:p>
        </w:tc>
        <w:tc>
          <w:p>
            <w:pPr>
              <w:pStyle w:val="Compact"/>
              <w:jc w:val="center"/>
            </w:pPr>
            <w:r>
              <w:t xml:space="preserve">30.64</w:t>
            </w:r>
          </w:p>
        </w:tc>
        <w:tc>
          <w:p>
            <w:pPr>
              <w:pStyle w:val="Compact"/>
              <w:jc w:val="center"/>
            </w:pPr>
            <w:r>
              <w:t xml:space="preserve">5.656</w:t>
            </w:r>
          </w:p>
        </w:tc>
        <w:tc>
          <w:p>
            <w:pPr>
              <w:pStyle w:val="Compact"/>
              <w:jc w:val="center"/>
            </w:pPr>
            <w:r>
              <w:t xml:space="preserve">7.167</w:t>
            </w:r>
          </w:p>
        </w:tc>
        <w:tc>
          <w:p>
            <w:pPr>
              <w:pStyle w:val="Compact"/>
              <w:jc w:val="center"/>
            </w:pPr>
            <w:r>
              <w:t xml:space="preserve">23.30</w:t>
            </w:r>
          </w:p>
        </w:tc>
        <w:tc>
          <w:p>
            <w:pPr>
              <w:pStyle w:val="Compact"/>
              <w:jc w:val="center"/>
            </w:pPr>
            <w:r>
              <w:t xml:space="preserve">424.7</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2.330</w:t>
            </w:r>
          </w:p>
        </w:tc>
        <w:tc>
          <w:p>
            <w:pPr>
              <w:pStyle w:val="Compact"/>
              <w:jc w:val="center"/>
            </w:pPr>
            <w:r>
              <w:t xml:space="preserve">2.371</w:t>
            </w:r>
          </w:p>
        </w:tc>
        <w:tc>
          <w:p>
            <w:pPr>
              <w:pStyle w:val="Compact"/>
              <w:jc w:val="center"/>
            </w:pPr>
            <w:r>
              <w:t xml:space="preserve">216.3</w:t>
            </w:r>
          </w:p>
        </w:tc>
        <w:tc>
          <w:p>
            <w:pPr>
              <w:pStyle w:val="Compact"/>
              <w:jc w:val="center"/>
            </w:pPr>
            <w:r>
              <w:t xml:space="preserve">175.6</w:t>
            </w:r>
          </w:p>
        </w:tc>
        <w:tc>
          <w:p>
            <w:pPr>
              <w:pStyle w:val="Compact"/>
              <w:jc w:val="center"/>
            </w:pPr>
            <w:r>
              <w:t xml:space="preserve">31.47</w:t>
            </w:r>
          </w:p>
        </w:tc>
        <w:tc>
          <w:p>
            <w:pPr>
              <w:pStyle w:val="Compact"/>
              <w:jc w:val="center"/>
            </w:pPr>
            <w:r>
              <w:t xml:space="preserve">5.605</w:t>
            </w:r>
          </w:p>
        </w:tc>
        <w:tc>
          <w:p>
            <w:pPr>
              <w:pStyle w:val="Compact"/>
              <w:jc w:val="center"/>
            </w:pPr>
            <w:r>
              <w:t xml:space="preserve">7.139</w:t>
            </w:r>
          </w:p>
        </w:tc>
        <w:tc>
          <w:p>
            <w:pPr>
              <w:pStyle w:val="Compact"/>
              <w:jc w:val="center"/>
            </w:pPr>
            <w:r>
              <w:t xml:space="preserve">23.75</w:t>
            </w:r>
          </w:p>
        </w:tc>
        <w:tc>
          <w:p>
            <w:pPr>
              <w:pStyle w:val="Compact"/>
              <w:jc w:val="center"/>
            </w:pPr>
            <w:r>
              <w:t xml:space="preserve">423.4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2.310</w:t>
            </w:r>
          </w:p>
        </w:tc>
        <w:tc>
          <w:p>
            <w:pPr>
              <w:pStyle w:val="Compact"/>
              <w:jc w:val="center"/>
            </w:pPr>
            <w:r>
              <w:t xml:space="preserve">2.340</w:t>
            </w:r>
          </w:p>
        </w:tc>
        <w:tc>
          <w:p>
            <w:pPr>
              <w:pStyle w:val="Compact"/>
              <w:jc w:val="center"/>
            </w:pPr>
            <w:r>
              <w:t xml:space="preserve">215.3</w:t>
            </w:r>
          </w:p>
        </w:tc>
        <w:tc>
          <w:p>
            <w:pPr>
              <w:pStyle w:val="Compact"/>
              <w:jc w:val="center"/>
            </w:pPr>
            <w:r>
              <w:t xml:space="preserve">173.1</w:t>
            </w:r>
          </w:p>
        </w:tc>
        <w:tc>
          <w:p>
            <w:pPr>
              <w:pStyle w:val="Compact"/>
              <w:jc w:val="center"/>
            </w:pPr>
            <w:r>
              <w:t xml:space="preserve">31.84</w:t>
            </w:r>
          </w:p>
        </w:tc>
        <w:tc>
          <w:p>
            <w:pPr>
              <w:pStyle w:val="Compact"/>
              <w:jc w:val="center"/>
            </w:pPr>
            <w:r>
              <w:t xml:space="preserve">5.577</w:t>
            </w:r>
          </w:p>
        </w:tc>
        <w:tc>
          <w:p>
            <w:pPr>
              <w:pStyle w:val="Compact"/>
              <w:jc w:val="center"/>
            </w:pPr>
            <w:r>
              <w:t xml:space="preserve">7.035</w:t>
            </w:r>
          </w:p>
        </w:tc>
        <w:tc>
          <w:p>
            <w:pPr>
              <w:pStyle w:val="Compact"/>
              <w:jc w:val="center"/>
            </w:pPr>
            <w:r>
              <w:t xml:space="preserve">24.29</w:t>
            </w:r>
          </w:p>
        </w:tc>
        <w:tc>
          <w:p>
            <w:pPr>
              <w:pStyle w:val="Compact"/>
              <w:jc w:val="center"/>
            </w:pPr>
            <w:r>
              <w:t xml:space="preserve">420.3</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2.295</w:t>
            </w:r>
          </w:p>
        </w:tc>
        <w:tc>
          <w:p>
            <w:pPr>
              <w:pStyle w:val="Compact"/>
              <w:jc w:val="center"/>
            </w:pPr>
            <w:r>
              <w:t xml:space="preserve">2.428</w:t>
            </w:r>
          </w:p>
        </w:tc>
        <w:tc>
          <w:p>
            <w:pPr>
              <w:pStyle w:val="Compact"/>
              <w:jc w:val="center"/>
            </w:pPr>
            <w:r>
              <w:t xml:space="preserve">211.3</w:t>
            </w:r>
          </w:p>
        </w:tc>
        <w:tc>
          <w:p>
            <w:pPr>
              <w:pStyle w:val="Compact"/>
              <w:jc w:val="center"/>
            </w:pPr>
            <w:r>
              <w:t xml:space="preserve">173.1</w:t>
            </w:r>
          </w:p>
        </w:tc>
        <w:tc>
          <w:p>
            <w:pPr>
              <w:pStyle w:val="Compact"/>
              <w:jc w:val="center"/>
            </w:pPr>
            <w:r>
              <w:t xml:space="preserve">33.04</w:t>
            </w:r>
          </w:p>
        </w:tc>
        <w:tc>
          <w:p>
            <w:pPr>
              <w:pStyle w:val="Compact"/>
              <w:jc w:val="center"/>
            </w:pPr>
            <w:r>
              <w:t xml:space="preserve">5.458</w:t>
            </w:r>
          </w:p>
        </w:tc>
        <w:tc>
          <w:p>
            <w:pPr>
              <w:pStyle w:val="Compact"/>
              <w:jc w:val="center"/>
            </w:pPr>
            <w:r>
              <w:t xml:space="preserve">7.024</w:t>
            </w:r>
          </w:p>
        </w:tc>
        <w:tc>
          <w:p>
            <w:pPr>
              <w:pStyle w:val="Compact"/>
              <w:jc w:val="center"/>
            </w:pPr>
            <w:r>
              <w:t xml:space="preserve">25.00</w:t>
            </w:r>
          </w:p>
        </w:tc>
        <w:tc>
          <w:p>
            <w:pPr>
              <w:pStyle w:val="Compact"/>
              <w:jc w:val="center"/>
            </w:pPr>
            <w:r>
              <w:t xml:space="preserve">417.4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2.287</w:t>
            </w:r>
          </w:p>
        </w:tc>
        <w:tc>
          <w:p>
            <w:pPr>
              <w:pStyle w:val="Compact"/>
              <w:jc w:val="center"/>
            </w:pPr>
            <w:r>
              <w:t xml:space="preserve">2.330</w:t>
            </w:r>
          </w:p>
        </w:tc>
        <w:tc>
          <w:p>
            <w:pPr>
              <w:pStyle w:val="Compact"/>
              <w:jc w:val="center"/>
            </w:pPr>
            <w:r>
              <w:t xml:space="preserve">212.2</w:t>
            </w:r>
          </w:p>
        </w:tc>
        <w:tc>
          <w:p>
            <w:pPr>
              <w:pStyle w:val="Compact"/>
              <w:jc w:val="center"/>
            </w:pPr>
            <w:r>
              <w:t xml:space="preserve">171.1</w:t>
            </w:r>
          </w:p>
        </w:tc>
        <w:tc>
          <w:p>
            <w:pPr>
              <w:pStyle w:val="Compact"/>
              <w:jc w:val="center"/>
            </w:pPr>
            <w:r>
              <w:t xml:space="preserve">32.88</w:t>
            </w:r>
          </w:p>
        </w:tc>
        <w:tc>
          <w:p>
            <w:pPr>
              <w:pStyle w:val="Compact"/>
              <w:jc w:val="center"/>
            </w:pPr>
            <w:r>
              <w:t xml:space="preserve">5.485</w:t>
            </w:r>
          </w:p>
        </w:tc>
        <w:tc>
          <w:p>
            <w:pPr>
              <w:pStyle w:val="Compact"/>
              <w:jc w:val="center"/>
            </w:pPr>
            <w:r>
              <w:t xml:space="preserve">6.945</w:t>
            </w:r>
          </w:p>
        </w:tc>
        <w:tc>
          <w:p>
            <w:pPr>
              <w:pStyle w:val="Compact"/>
              <w:jc w:val="center"/>
            </w:pPr>
            <w:r>
              <w:t xml:space="preserve">25.21</w:t>
            </w:r>
          </w:p>
        </w:tc>
        <w:tc>
          <w:p>
            <w:pPr>
              <w:pStyle w:val="Compact"/>
              <w:jc w:val="center"/>
            </w:pPr>
            <w:r>
              <w:t xml:space="preserve">416.2</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2.282</w:t>
            </w:r>
          </w:p>
        </w:tc>
        <w:tc>
          <w:p>
            <w:pPr>
              <w:pStyle w:val="Compact"/>
              <w:jc w:val="center"/>
            </w:pPr>
            <w:r>
              <w:t xml:space="preserve">2.293</w:t>
            </w:r>
          </w:p>
        </w:tc>
        <w:tc>
          <w:p>
            <w:pPr>
              <w:pStyle w:val="Compact"/>
              <w:jc w:val="center"/>
            </w:pPr>
            <w:r>
              <w:t xml:space="preserve">213.4</w:t>
            </w:r>
          </w:p>
        </w:tc>
        <w:tc>
          <w:p>
            <w:pPr>
              <w:pStyle w:val="Compact"/>
              <w:jc w:val="center"/>
            </w:pPr>
            <w:r>
              <w:t xml:space="preserve">170.0</w:t>
            </w:r>
          </w:p>
        </w:tc>
        <w:tc>
          <w:p>
            <w:pPr>
              <w:pStyle w:val="Compact"/>
              <w:jc w:val="center"/>
            </w:pPr>
            <w:r>
              <w:t xml:space="preserve">32.60</w:t>
            </w:r>
          </w:p>
        </w:tc>
        <w:tc>
          <w:p>
            <w:pPr>
              <w:pStyle w:val="Compact"/>
              <w:jc w:val="center"/>
            </w:pPr>
            <w:r>
              <w:t xml:space="preserve">5.522</w:t>
            </w:r>
          </w:p>
        </w:tc>
        <w:tc>
          <w:p>
            <w:pPr>
              <w:pStyle w:val="Compact"/>
              <w:jc w:val="center"/>
            </w:pPr>
            <w:r>
              <w:t xml:space="preserve">6.906</w:t>
            </w:r>
          </w:p>
        </w:tc>
        <w:tc>
          <w:p>
            <w:pPr>
              <w:pStyle w:val="Compact"/>
              <w:jc w:val="center"/>
            </w:pPr>
            <w:r>
              <w:t xml:space="preserve">25.09</w:t>
            </w:r>
          </w:p>
        </w:tc>
        <w:tc>
          <w:p>
            <w:pPr>
              <w:pStyle w:val="Compact"/>
              <w:jc w:val="center"/>
            </w:pPr>
            <w:r>
              <w:t xml:space="preserve">416.0</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2.280</w:t>
            </w:r>
          </w:p>
        </w:tc>
        <w:tc>
          <w:p>
            <w:pPr>
              <w:pStyle w:val="Compact"/>
              <w:jc w:val="center"/>
            </w:pPr>
            <w:r>
              <w:t xml:space="preserve">2.357</w:t>
            </w:r>
          </w:p>
        </w:tc>
        <w:tc>
          <w:p>
            <w:pPr>
              <w:pStyle w:val="Compact"/>
              <w:jc w:val="center"/>
            </w:pPr>
            <w:r>
              <w:t xml:space="preserve">211.7</w:t>
            </w:r>
          </w:p>
        </w:tc>
        <w:tc>
          <w:p>
            <w:pPr>
              <w:pStyle w:val="Compact"/>
              <w:jc w:val="center"/>
            </w:pPr>
            <w:r>
              <w:t xml:space="preserve">171.1</w:t>
            </w:r>
          </w:p>
        </w:tc>
        <w:tc>
          <w:p>
            <w:pPr>
              <w:pStyle w:val="Compact"/>
              <w:jc w:val="center"/>
            </w:pPr>
            <w:r>
              <w:t xml:space="preserve">32.62</w:t>
            </w:r>
          </w:p>
        </w:tc>
        <w:tc>
          <w:p>
            <w:pPr>
              <w:pStyle w:val="Compact"/>
              <w:jc w:val="center"/>
            </w:pPr>
            <w:r>
              <w:t xml:space="preserve">5.473</w:t>
            </w:r>
          </w:p>
        </w:tc>
        <w:tc>
          <w:p>
            <w:pPr>
              <w:pStyle w:val="Compact"/>
              <w:jc w:val="center"/>
            </w:pPr>
            <w:r>
              <w:t xml:space="preserve">6.946</w:t>
            </w:r>
          </w:p>
        </w:tc>
        <w:tc>
          <w:p>
            <w:pPr>
              <w:pStyle w:val="Compact"/>
              <w:jc w:val="center"/>
            </w:pPr>
            <w:r>
              <w:t xml:space="preserve">24.90</w:t>
            </w:r>
          </w:p>
        </w:tc>
        <w:tc>
          <w:p>
            <w:pPr>
              <w:pStyle w:val="Compact"/>
              <w:jc w:val="center"/>
            </w:pPr>
            <w:r>
              <w:t xml:space="preserve">415.5</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2.277</w:t>
            </w:r>
          </w:p>
        </w:tc>
        <w:tc>
          <w:p>
            <w:pPr>
              <w:pStyle w:val="Compact"/>
              <w:jc w:val="center"/>
            </w:pPr>
            <w:r>
              <w:t xml:space="preserve">2.342</w:t>
            </w:r>
          </w:p>
        </w:tc>
        <w:tc>
          <w:p>
            <w:pPr>
              <w:pStyle w:val="Compact"/>
              <w:jc w:val="center"/>
            </w:pPr>
            <w:r>
              <w:t xml:space="preserve">209.8</w:t>
            </w:r>
          </w:p>
        </w:tc>
        <w:tc>
          <w:p>
            <w:pPr>
              <w:pStyle w:val="Compact"/>
              <w:jc w:val="center"/>
            </w:pPr>
            <w:r>
              <w:t xml:space="preserve">171.1</w:t>
            </w:r>
          </w:p>
        </w:tc>
        <w:tc>
          <w:p>
            <w:pPr>
              <w:pStyle w:val="Compact"/>
              <w:jc w:val="center"/>
            </w:pPr>
            <w:r>
              <w:t xml:space="preserve">32.98</w:t>
            </w:r>
          </w:p>
        </w:tc>
        <w:tc>
          <w:p>
            <w:pPr>
              <w:pStyle w:val="Compact"/>
              <w:jc w:val="center"/>
            </w:pPr>
            <w:r>
              <w:t xml:space="preserve">5.417</w:t>
            </w:r>
          </w:p>
        </w:tc>
        <w:tc>
          <w:p>
            <w:pPr>
              <w:pStyle w:val="Compact"/>
              <w:jc w:val="center"/>
            </w:pPr>
            <w:r>
              <w:t xml:space="preserve">6.941</w:t>
            </w:r>
          </w:p>
        </w:tc>
        <w:tc>
          <w:p>
            <w:pPr>
              <w:pStyle w:val="Compact"/>
              <w:jc w:val="center"/>
            </w:pPr>
            <w:r>
              <w:t xml:space="preserve">25.18</w:t>
            </w:r>
          </w:p>
        </w:tc>
        <w:tc>
          <w:p>
            <w:pPr>
              <w:pStyle w:val="Compact"/>
              <w:jc w:val="center"/>
            </w:pPr>
            <w:r>
              <w:t xml:space="preserve">413.9</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7: Weighted performance metrics for all candidate management procedures, with</w:t>
      </w:r>
      <w:r>
        <w:t xml:space="preserve"> </w:t>
      </w:r>
      <w:r>
        <w:t xml:space="preserve">harvest rates tuned to performance on the</w:t>
      </w:r>
      <w:r>
        <w:t xml:space="preserve"> </w:t>
      </w:r>
      <w:r>
        <w:t xml:space="preserve">, and applied to the</w:t>
      </w:r>
      <w:r>
        <w:t xml:space="preserve"> </w:t>
      </w:r>
      <w:r>
        <w:t xml:space="preserve"> </w:t>
      </w:r>
      <w:r>
        <w:t xml:space="preserve">where recruitment is simulated stochastically off the</w:t>
      </w:r>
      <w:r>
        <w:t xml:space="preserve"> </w:t>
      </w:r>
      <w:r>
        <w:t xml:space="preserve">stock-recruit curve for the 2015 year class. Conservation performance metrics that pass the</w:t>
      </w:r>
      <w:r>
        <w:t xml:space="preserve"> </w:t>
      </w:r>
      <w:r>
        <w:t xml:space="preserve">criteria in the header are indicated by a bullet. Catch is given in biomass units, which are</w:t>
      </w:r>
      <w:r>
        <w:t xml:space="preserve"> </w:t>
      </w:r>
      <w:r>
        <w:t xml:space="preserve">measured in kilotonnes. Table is sorted by 10 year average catch</w:t>
      </w:r>
      <w:r>
        <w:t xml:space="preserve"> </w:t>
      </w:r>
      <m:oMath>
        <m:sSub>
          <m:e>
            <m:bar>
              <m:barPr>
                <m:pos m:val="top"/>
              </m:barPr>
              <m:e>
                <m:r>
                  <m:t>C</m:t>
                </m:r>
              </m:e>
            </m:bar>
          </m:e>
          <m:sub>
            <m:r>
              <m:t>2019</m:t>
            </m:r>
            <m:r>
              <m:t>:</m:t>
            </m:r>
            <m:r>
              <m:t>2028</m:t>
            </m:r>
          </m:sub>
        </m:sSub>
      </m:oMath>
      <w:r>
        <w:t xml:space="preserve">. For</w:t>
      </w:r>
      <w:r>
        <w:t xml:space="preserve"> </w:t>
      </w:r>
      <w:r>
        <w:t xml:space="preserve">Objective 2, Obs refers to the observed probability of decline, and Acc to the acceptable</w:t>
      </w:r>
      <w:r>
        <w:t xml:space="preserve"> </w:t>
      </w:r>
      <w:r>
        <w:t xml:space="preserve">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 and applied to the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0.41</m:t>
              </m:r>
              <m:r>
                <m:t>&lt;</m:t>
              </m:r>
              <m:r>
                <m:t>0.5</m:t>
              </m:r>
            </m:oMath>
          </w:p>
        </w:tc>
        <w:tc>
          <w:p>
            <w:pPr>
              <w:pStyle w:val="Compact"/>
              <w:jc w:val="center"/>
            </w:pPr>
            <w:r>
              <w:t xml:space="preserve">0.09</w:t>
            </w:r>
          </w:p>
        </w:tc>
        <w:tc>
          <w:p>
            <w:pPr>
              <w:pStyle w:val="Compact"/>
              <w:jc w:val="center"/>
            </w:pPr>
            <w:r>
              <w:t xml:space="preserve">2.937</w:t>
            </w:r>
          </w:p>
        </w:tc>
        <w:tc>
          <w:p>
            <w:pPr>
              <w:pStyle w:val="Compact"/>
              <w:jc w:val="center"/>
            </w:pPr>
            <w:r>
              <w:t xml:space="preserve">2.956</w:t>
            </w:r>
          </w:p>
        </w:tc>
        <w:tc>
          <w:p>
            <w:pPr>
              <w:pStyle w:val="Compact"/>
              <w:jc w:val="center"/>
            </w:pPr>
            <w:r>
              <w:t xml:space="preserve">9</w:t>
            </w:r>
          </w:p>
        </w:tc>
        <w:tc>
          <w:p>
            <w:pPr>
              <w:pStyle w:val="Compact"/>
              <w:jc w:val="center"/>
            </w:pPr>
            <w:r>
              <w:t xml:space="preserve">3.22</w:t>
            </w:r>
          </w:p>
        </w:tc>
        <w:tc>
          <w:p>
            <w:pPr>
              <w:pStyle w:val="Compact"/>
              <w:jc w:val="center"/>
            </w:pPr>
            <w:r>
              <w:t xml:space="preserve">0.24</w:t>
            </w:r>
          </w:p>
        </w:tc>
        <w:tc>
          <w:p>
            <w:pPr>
              <w:pStyle w:val="Compact"/>
              <w:jc w:val="center"/>
            </w:pPr>
            <w:r>
              <w:t xml:space="preserve">0.0750</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2.619</w:t>
            </w:r>
          </w:p>
        </w:tc>
        <w:tc>
          <w:p>
            <w:pPr>
              <w:pStyle w:val="Compact"/>
              <w:jc w:val="center"/>
            </w:pPr>
            <w:r>
              <w:t xml:space="preserve">2.894</w:t>
            </w:r>
          </w:p>
        </w:tc>
        <w:tc>
          <w:p>
            <w:pPr>
              <w:pStyle w:val="Compact"/>
              <w:jc w:val="center"/>
            </w:pPr>
            <w:r>
              <w:t xml:space="preserve">11</w:t>
            </w:r>
          </w:p>
        </w:tc>
        <w:tc>
          <w:p>
            <w:pPr>
              <w:pStyle w:val="Compact"/>
              <w:jc w:val="center"/>
            </w:pPr>
            <w:r>
              <w:t xml:space="preserve">3.19</w:t>
            </w:r>
          </w:p>
        </w:tc>
        <w:tc>
          <w:p>
            <w:pPr>
              <w:pStyle w:val="Compact"/>
              <w:jc w:val="center"/>
            </w:pPr>
            <w:r>
              <w:t xml:space="preserve">0.24</w:t>
            </w:r>
          </w:p>
        </w:tc>
        <w:tc>
          <w:p>
            <w:pPr>
              <w:pStyle w:val="Compact"/>
              <w:jc w:val="center"/>
            </w:pPr>
            <w:r>
              <w:t xml:space="preserve">0.0741</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0.12</w:t>
            </w:r>
          </w:p>
        </w:tc>
        <w:tc>
          <w:p>
            <w:pPr>
              <w:pStyle w:val="Compact"/>
              <w:jc w:val="center"/>
            </w:pPr>
            <w:r>
              <w:t xml:space="preserve">2.618</w:t>
            </w:r>
          </w:p>
        </w:tc>
        <w:tc>
          <w:p>
            <w:pPr>
              <w:pStyle w:val="Compact"/>
              <w:jc w:val="center"/>
            </w:pPr>
            <w:r>
              <w:t xml:space="preserve">3.045</w:t>
            </w:r>
          </w:p>
        </w:tc>
        <w:tc>
          <w:p>
            <w:pPr>
              <w:pStyle w:val="Compact"/>
              <w:jc w:val="center"/>
            </w:pPr>
            <w:r>
              <w:t xml:space="preserve">13</w:t>
            </w:r>
          </w:p>
        </w:tc>
        <w:tc>
          <w:p>
            <w:pPr>
              <w:pStyle w:val="Compact"/>
              <w:jc w:val="center"/>
            </w:pPr>
            <w:r>
              <w:t xml:space="preserve">3.37</w:t>
            </w:r>
          </w:p>
        </w:tc>
        <w:tc>
          <w:p>
            <w:pPr>
              <w:pStyle w:val="Compact"/>
              <w:jc w:val="center"/>
            </w:pPr>
            <w:r>
              <w:t xml:space="preserve">0.24</w:t>
            </w:r>
          </w:p>
        </w:tc>
        <w:tc>
          <w:p>
            <w:pPr>
              <w:pStyle w:val="Compact"/>
              <w:jc w:val="center"/>
            </w:pPr>
            <w:r>
              <w:t xml:space="preserve">0.0783</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2.596</w:t>
            </w:r>
          </w:p>
        </w:tc>
        <w:tc>
          <w:p>
            <w:pPr>
              <w:pStyle w:val="Compact"/>
              <w:jc w:val="center"/>
            </w:pPr>
            <w:r>
              <w:t xml:space="preserve">2.731</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0.0696</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2.570</w:t>
            </w:r>
          </w:p>
        </w:tc>
        <w:tc>
          <w:p>
            <w:pPr>
              <w:pStyle w:val="Compact"/>
              <w:jc w:val="center"/>
            </w:pPr>
            <w:r>
              <w:t xml:space="preserve">2.626</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0.0663</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2.565</w:t>
            </w:r>
          </w:p>
        </w:tc>
        <w:tc>
          <w:p>
            <w:pPr>
              <w:pStyle w:val="Compact"/>
              <w:jc w:val="center"/>
            </w:pPr>
            <w:r>
              <w:t xml:space="preserve">2.850</w:t>
            </w:r>
          </w:p>
        </w:tc>
        <w:tc>
          <w:p>
            <w:pPr>
              <w:pStyle w:val="Compact"/>
              <w:jc w:val="center"/>
            </w:pPr>
            <w:r>
              <w:t xml:space="preserve">11</w:t>
            </w:r>
          </w:p>
        </w:tc>
        <w:tc>
          <w:p>
            <w:pPr>
              <w:pStyle w:val="Compact"/>
              <w:jc w:val="center"/>
            </w:pPr>
            <w:r>
              <w:t xml:space="preserve">3.13</w:t>
            </w:r>
          </w:p>
        </w:tc>
        <w:tc>
          <w:p>
            <w:pPr>
              <w:pStyle w:val="Compact"/>
              <w:jc w:val="center"/>
            </w:pPr>
            <w:r>
              <w:t xml:space="preserve">0.24</w:t>
            </w:r>
          </w:p>
        </w:tc>
        <w:tc>
          <w:p>
            <w:pPr>
              <w:pStyle w:val="Compact"/>
              <w:jc w:val="center"/>
            </w:pPr>
            <w:r>
              <w:t xml:space="preserve">0.0728</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0.3</m:t>
              </m:r>
              <m:r>
                <m:t>&gt;</m:t>
              </m:r>
              <m:r>
                <m:t>0.26</m:t>
              </m:r>
            </m:oMath>
          </w:p>
        </w:tc>
        <w:tc>
          <w:p>
            <w:pPr>
              <w:pStyle w:val="Compact"/>
              <w:jc w:val="center"/>
            </w:pPr>
            <m:oMath>
              <m:r>
                <m:t>0.41</m:t>
              </m:r>
              <m:r>
                <m:t>&lt;</m:t>
              </m:r>
              <m:r>
                <m:t>0.5</m:t>
              </m:r>
            </m:oMath>
          </w:p>
        </w:tc>
        <w:tc>
          <w:p>
            <w:pPr>
              <w:pStyle w:val="Compact"/>
              <w:jc w:val="center"/>
            </w:pPr>
            <w:r>
              <w:t xml:space="preserve">0.13</w:t>
            </w:r>
          </w:p>
        </w:tc>
        <w:tc>
          <w:p>
            <w:pPr>
              <w:pStyle w:val="Compact"/>
              <w:jc w:val="center"/>
            </w:pPr>
            <w:r>
              <w:t xml:space="preserve">2.560</w:t>
            </w:r>
          </w:p>
        </w:tc>
        <w:tc>
          <w:p>
            <w:pPr>
              <w:pStyle w:val="Compact"/>
              <w:jc w:val="center"/>
            </w:pPr>
            <w:r>
              <w:t xml:space="preserve">2.783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0.0705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2.555</w:t>
            </w:r>
          </w:p>
        </w:tc>
        <w:tc>
          <w:p>
            <w:pPr>
              <w:pStyle w:val="Compact"/>
              <w:jc w:val="center"/>
            </w:pPr>
            <w:r>
              <w:t xml:space="preserve">2.702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0.0681</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2.536</w:t>
            </w:r>
          </w:p>
        </w:tc>
        <w:tc>
          <w:p>
            <w:pPr>
              <w:pStyle w:val="Compact"/>
              <w:jc w:val="center"/>
            </w:pPr>
            <w:r>
              <w:t xml:space="preserve">2.615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0.0654</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2.520</w:t>
            </w:r>
          </w:p>
        </w:tc>
        <w:tc>
          <w:p>
            <w:pPr>
              <w:pStyle w:val="Compact"/>
              <w:jc w:val="center"/>
            </w:pPr>
            <w:r>
              <w:t xml:space="preserve">2.672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2.519</w:t>
            </w:r>
          </w:p>
        </w:tc>
        <w:tc>
          <w:p>
            <w:pPr>
              <w:pStyle w:val="Compact"/>
              <w:jc w:val="center"/>
            </w:pPr>
            <w:r>
              <w:t xml:space="preserve">2.553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0.39</m:t>
              </m:r>
              <m:r>
                <m:t>&lt;</m:t>
              </m:r>
              <m:r>
                <m:t>0.5</m:t>
              </m:r>
            </m:oMath>
          </w:p>
        </w:tc>
        <w:tc>
          <w:p>
            <w:pPr>
              <w:pStyle w:val="Compact"/>
              <w:jc w:val="center"/>
            </w:pPr>
            <w:r>
              <w:t xml:space="preserve">0.15</w:t>
            </w:r>
          </w:p>
        </w:tc>
        <w:tc>
          <w:p>
            <w:pPr>
              <w:pStyle w:val="Compact"/>
              <w:jc w:val="center"/>
            </w:pPr>
            <w:r>
              <w:t xml:space="preserve">2.516</w:t>
            </w:r>
          </w:p>
        </w:tc>
        <w:tc>
          <w:p>
            <w:pPr>
              <w:pStyle w:val="Compact"/>
              <w:jc w:val="center"/>
            </w:pPr>
            <w:r>
              <w:t xml:space="preserve">2.685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2.490</w:t>
            </w:r>
          </w:p>
        </w:tc>
        <w:tc>
          <w:p>
            <w:pPr>
              <w:pStyle w:val="Compact"/>
              <w:jc w:val="center"/>
            </w:pPr>
            <w:r>
              <w:t xml:space="preserve">2.583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0.0641</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0.39</m:t>
              </m:r>
              <m:r>
                <m:t>&lt;</m:t>
              </m:r>
              <m:r>
                <m:t>0.5</m:t>
              </m:r>
            </m:oMath>
          </w:p>
        </w:tc>
        <w:tc>
          <w:p>
            <w:pPr>
              <w:pStyle w:val="Compact"/>
              <w:jc w:val="center"/>
            </w:pPr>
            <w:r>
              <w:t xml:space="preserve">0.17</w:t>
            </w:r>
          </w:p>
        </w:tc>
        <w:tc>
          <w:p>
            <w:pPr>
              <w:pStyle w:val="Compact"/>
              <w:jc w:val="center"/>
            </w:pPr>
            <w:r>
              <w:t xml:space="preserve">2.487</w:t>
            </w:r>
          </w:p>
        </w:tc>
        <w:tc>
          <w:p>
            <w:pPr>
              <w:pStyle w:val="Compact"/>
              <w:jc w:val="center"/>
            </w:pPr>
            <w:r>
              <w:t xml:space="preserve">2.579</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0.0639</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0.17</w:t>
            </w:r>
          </w:p>
        </w:tc>
        <w:tc>
          <w:p>
            <w:pPr>
              <w:pStyle w:val="Compact"/>
              <w:jc w:val="center"/>
            </w:pPr>
            <w:r>
              <w:t xml:space="preserve">2.467</w:t>
            </w:r>
          </w:p>
        </w:tc>
        <w:tc>
          <w:p>
            <w:pPr>
              <w:pStyle w:val="Compact"/>
              <w:jc w:val="center"/>
            </w:pPr>
            <w:r>
              <w:t xml:space="preserve">2.520</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0.0619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0.31</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2.449</w:t>
            </w:r>
          </w:p>
        </w:tc>
        <w:tc>
          <w:p>
            <w:pPr>
              <w:pStyle w:val="Compact"/>
              <w:jc w:val="center"/>
            </w:pPr>
            <w:r>
              <w:t xml:space="preserve">2.463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0.0599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8: Weighted performance metrics for all candidate management procedures,</w:t>
      </w:r>
      <w:r>
        <w:t xml:space="preserve"> </w:t>
      </w:r>
      <w:r>
        <w:t xml:space="preserve">with harvest rates tuned to performance on the</w:t>
      </w:r>
      <w:r>
        <w:t xml:space="preserve"> </w:t>
      </w:r>
      <w:r>
        <w:t xml:space="preserve">, and applied</w:t>
      </w:r>
      <w:r>
        <w:t xml:space="preserve"> </w:t>
      </w:r>
      <w:r>
        <w:t xml:space="preserve">to the</w:t>
      </w:r>
      <w:r>
        <w:t xml:space="preserve"> </w:t>
      </w:r>
      <w:r>
        <w:t xml:space="preserve"> </w:t>
      </w:r>
      <w:r>
        <w:t xml:space="preserve">accepting the high 2015 year class. Conservation</w:t>
      </w:r>
      <w:r>
        <w:t xml:space="preserve"> </w:t>
      </w:r>
      <w:r>
        <w:t xml:space="preserve">performance metrics that pass the criteria in the header are indicated by a bullet. Catch is</w:t>
      </w:r>
      <w:r>
        <w:t xml:space="preserve"> </w:t>
      </w:r>
      <w:r>
        <w:t xml:space="preserve">given in biomass units, which are measured in kilotonnes. Table is sorted by 10 year average</w:t>
      </w:r>
      <w:r>
        <w:t xml:space="preserve"> </w:t>
      </w:r>
      <w:r>
        <w:t xml:space="preserve">catch</w:t>
      </w:r>
      <w:r>
        <w:t xml:space="preserve"> </w:t>
      </w:r>
      <m:oMath>
        <m:sSub>
          <m:e>
            <m:bar>
              <m:barPr>
                <m:pos m:val="top"/>
              </m:barPr>
              <m:e>
                <m:r>
                  <m:t>C</m:t>
                </m:r>
              </m:e>
            </m:bar>
          </m:e>
          <m:sub>
            <m:r>
              <m:t>2019</m:t>
            </m:r>
            <m:r>
              <m:t>:</m:t>
            </m:r>
            <m:r>
              <m:t>2028</m:t>
            </m:r>
          </m:sub>
        </m:sSub>
      </m:oMath>
      <w:r>
        <w:t xml:space="preserve">. For Objective 2, Obs refers to the observed probability of</w:t>
      </w:r>
      <w:r>
        <w:t xml:space="preserve"> </w:t>
      </w:r>
      <w:r>
        <w:t xml:space="preserve">decline, and Acc to the acceptable probability of decline, linearly interpolated between</w:t>
      </w:r>
      <w:r>
        <w:t xml:space="preserve"> </w:t>
      </w:r>
      <w:r>
        <w:t xml:space="preserve">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 and applied to the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4.172</w:t>
            </w:r>
          </w:p>
        </w:tc>
        <w:tc>
          <w:p>
            <w:pPr>
              <w:pStyle w:val="Compact"/>
              <w:jc w:val="center"/>
            </w:pPr>
            <w:r>
              <w:t xml:space="preserve">4.195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3.815</w:t>
            </w:r>
          </w:p>
        </w:tc>
        <w:tc>
          <w:p>
            <w:pPr>
              <w:pStyle w:val="Compact"/>
              <w:jc w:val="center"/>
            </w:pPr>
            <w:r>
              <w:t xml:space="preserve">4.435</w:t>
            </w:r>
          </w:p>
        </w:tc>
        <w:tc>
          <w:p>
            <w:pPr>
              <w:pStyle w:val="Compact"/>
              <w:jc w:val="center"/>
            </w:pPr>
            <w:r>
              <w:t xml:space="preserve">8</w:t>
            </w:r>
          </w:p>
        </w:tc>
        <w:tc>
          <w:p>
            <w:pPr>
              <w:pStyle w:val="Compact"/>
              <w:jc w:val="center"/>
            </w:pPr>
            <w:r>
              <w:t xml:space="preserve">3.11</w:t>
            </w:r>
          </w:p>
        </w:tc>
        <w:tc>
          <w:p>
            <w:pPr>
              <w:pStyle w:val="Compact"/>
              <w:jc w:val="center"/>
            </w:pPr>
            <w:r>
              <w:t xml:space="preserve">0.35</w:t>
            </w:r>
          </w:p>
        </w:tc>
        <w:tc>
          <w:p>
            <w:pPr>
              <w:pStyle w:val="Compact"/>
              <w:jc w:val="center"/>
            </w:pPr>
            <w:r>
              <w:t xml:space="preserve">0.0724</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3.681</w:t>
            </w:r>
          </w:p>
        </w:tc>
        <w:tc>
          <w:p>
            <w:pPr>
              <w:pStyle w:val="Compact"/>
              <w:jc w:val="center"/>
            </w:pPr>
            <w:r>
              <w:t xml:space="preserve">3.998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3.631</w:t>
            </w:r>
          </w:p>
        </w:tc>
        <w:tc>
          <w:p>
            <w:pPr>
              <w:pStyle w:val="Compact"/>
              <w:jc w:val="center"/>
            </w:pPr>
            <w:r>
              <w:t xml:space="preserve">4.064</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0.0655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3.568</w:t>
            </w:r>
          </w:p>
        </w:tc>
        <w:tc>
          <w:p>
            <w:pPr>
              <w:pStyle w:val="Compact"/>
              <w:jc w:val="center"/>
            </w:pPr>
            <w:r>
              <w:t xml:space="preserve">3.794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0.0606</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3.504</w:t>
            </w:r>
          </w:p>
        </w:tc>
        <w:tc>
          <w:p>
            <w:pPr>
              <w:pStyle w:val="Compact"/>
              <w:jc w:val="center"/>
            </w:pPr>
            <w:r>
              <w:t xml:space="preserve">3.935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0.0628</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3.488</w:t>
            </w:r>
          </w:p>
        </w:tc>
        <w:tc>
          <w:p>
            <w:pPr>
              <w:pStyle w:val="Compact"/>
              <w:jc w:val="center"/>
            </w:pPr>
            <w:r>
              <w:t xml:space="preserve">3.715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0.0589</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3.483</w:t>
            </w:r>
          </w:p>
        </w:tc>
        <w:tc>
          <w:p>
            <w:pPr>
              <w:pStyle w:val="Compact"/>
              <w:jc w:val="center"/>
            </w:pPr>
            <w:r>
              <w:t xml:space="preserve">3.623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0.0572</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3.464</w:t>
            </w:r>
          </w:p>
        </w:tc>
        <w:tc>
          <w:p>
            <w:pPr>
              <w:pStyle w:val="Compact"/>
              <w:jc w:val="center"/>
            </w:pPr>
            <w:r>
              <w:t xml:space="preserve">3.725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0.0590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3.509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0.0562</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3.413</w:t>
            </w:r>
          </w:p>
        </w:tc>
        <w:tc>
          <w:p>
            <w:pPr>
              <w:pStyle w:val="Compact"/>
              <w:jc w:val="center"/>
            </w:pPr>
            <w:r>
              <w:t xml:space="preserve">3.433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3.371</w:t>
            </w:r>
          </w:p>
        </w:tc>
        <w:tc>
          <w:p>
            <w:pPr>
              <w:pStyle w:val="Compact"/>
              <w:jc w:val="center"/>
            </w:pPr>
            <w:r>
              <w:t xml:space="preserve">3.535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0.0554</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3.370</w:t>
            </w:r>
          </w:p>
        </w:tc>
        <w:tc>
          <w:p>
            <w:pPr>
              <w:pStyle w:val="Compact"/>
              <w:jc w:val="center"/>
            </w:pPr>
            <w:r>
              <w:t xml:space="preserve">3.489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0.0546</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3.368</w:t>
            </w:r>
          </w:p>
        </w:tc>
        <w:tc>
          <w:p>
            <w:pPr>
              <w:pStyle w:val="Compact"/>
              <w:jc w:val="center"/>
            </w:pPr>
            <w:r>
              <w:t xml:space="preserve">3.661</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3.301</w:t>
            </w:r>
          </w:p>
        </w:tc>
        <w:tc>
          <w:p>
            <w:pPr>
              <w:pStyle w:val="Compact"/>
              <w:jc w:val="center"/>
            </w:pPr>
            <w:r>
              <w:t xml:space="preserve">3.518</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Heading1"/>
      </w:pPr>
      <w:bookmarkStart w:id="21" w:name="figures"/>
      <w:r>
        <w:t xml:space="preserve">Figures</w:t>
      </w:r>
      <w:bookmarkEnd w:id="21"/>
    </w:p>
    <w:p>
      <w:pPr>
        <w:pStyle w:val="CaptionedFigure"/>
      </w:pPr>
      <w:r>
        <w:drawing>
          <wp:inline>
            <wp:extent cx="5943600" cy="3672557"/>
            <wp:effectExtent b="0" l="0" r="0" t="0"/>
            <wp:docPr descr="Figure 1: Joint marginal posterior distribution MCMC samples (grey dots) for stock-recruit steepness (h; x-axis) and spawning biomass in 2018 (B_{2018}; y-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5-1.png" id="0" name="Picture"/>
                    <pic:cNvPicPr>
                      <a:picLocks noChangeArrowheads="1" noChangeAspect="1"/>
                    </pic:cNvPicPr>
                  </pic:nvPicPr>
                  <pic:blipFill>
                    <a:blip r:embed="rId22"/>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w:t>
      </w:r>
      <w:r>
        <w:t xml:space="preserve"> </w:t>
      </w:r>
      <m:oMath>
        <m:r>
          <m:t>x</m:t>
        </m:r>
      </m:oMath>
      <w:r>
        <w:t xml:space="preserve">-axis) and spawning biomass in 2018 (</w:t>
      </w:r>
      <m:oMath>
        <m:sSub>
          <m:e>
            <m:r>
              <m:t>B</m:t>
            </m:r>
          </m:e>
          <m:sub>
            <m:r>
              <m:t>2018</m:t>
            </m:r>
          </m:sub>
        </m:sSub>
      </m:oMath>
      <w:r>
        <w:t xml:space="preserve">;</w:t>
      </w:r>
      <w:r>
        <w:t xml:space="preserve"> </w:t>
      </w:r>
      <m:oMath>
        <m:r>
          <m:t>y</m:t>
        </m:r>
      </m:oMath>
      <w:r>
        <w:t xml:space="preserve">-axis).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hiRec2016_wtd/hstAl_am5/BtFitUtRt_rep13.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w:t>
      </w:r>
      <w:r>
        <w:t xml:space="preserve"> </w:t>
      </w:r>
      <w:r>
        <w:t xml:space="preserve"> </w:t>
      </w:r>
      <w:r>
        <w:t xml:space="preserve">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5: Weighted combined simulation envelopes from the 5 productivity and biomass operating models in the , showing the current MP (noCap),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 title="" id="1" name="Picture"/>
            <a:graphic>
              <a:graphicData uri="http://schemas.openxmlformats.org/drawingml/2006/picture">
                <pic:pic>
                  <pic:nvPicPr>
                    <pic:cNvPr descr="data/tulipPlots/hiRec2016_wtd/depCatchHR/hiRec2016_wtd_depCatchHR_hstAl_am5.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w:t>
      </w:r>
      <w:r>
        <w:t xml:space="preserve"> </w:t>
      </w:r>
      <w:r>
        <w:t xml:space="preserve">, showing the current MP (noCap),three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w:t>
      </w:r>
    </w:p>
    <w:p>
      <w:pPr>
        <w:pStyle w:val="CaptionedFigure"/>
      </w:pPr>
      <w:r>
        <w:drawing>
          <wp:inline>
            <wp:extent cx="3810000" cy="2540000"/>
            <wp:effectExtent b="0" l="0" r="0" t="0"/>
            <wp:docPr descr="Figure 6: A single simulation replicate drawn from the  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simRec2016_wtd/hstAl_am5/BtFitUtRt_rep13.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w:t>
      </w:r>
      <w:r>
        <w:t xml:space="preserve"> </w:t>
      </w:r>
      <w:r>
        <w:t xml:space="preserve"> </w:t>
      </w:r>
      <w:r>
        <w:t xml:space="preserve">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7: Weighted combined simulation envelopes from the 5 productivity and biomass operating models in the , showing showing the current MP (noCap), 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 title="" id="1" name="Picture"/>
            <a:graphic>
              <a:graphicData uri="http://schemas.openxmlformats.org/drawingml/2006/picture">
                <pic:pic>
                  <pic:nvPicPr>
                    <pic:cNvPr descr="data/tulipPlots/simRec2016_wtd/depCatchHR/simRec2016_wtd_depCatchHR_hstAl_am5.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w:t>
      </w:r>
      <w:r>
        <w:t xml:space="preserve"> </w:t>
      </w:r>
      <w:r>
        <w:t xml:space="preserve">, showing showing the current MP (noCap), 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3" Target="media/rId23.pdf" /><Relationship Type="http://schemas.openxmlformats.org/officeDocument/2006/relationships/image" Id="rId25" Target="media/rId25.pdf"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22" Target="media/rId22.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fishery for 2019-2020.</dc:title>
  <dc:creator/>
  <cp:keywords/>
  <dcterms:created xsi:type="dcterms:W3CDTF">2019-11-19T18:26:38Z</dcterms:created>
  <dcterms:modified xsi:type="dcterms:W3CDTF">2019-11-19T18:26:38Z</dcterms:modified>
</cp:coreProperties>
</file>