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a double-geometric model</w:t>
      </w:r>
      <w:r>
        <w:t xml:space="preserve"> </w:t>
      </w:r>
      <w:r>
        <w:t xml:space="preserve">to a discretized normal distribution. The two major differences</w:t>
      </w:r>
      <w:r>
        <w:t xml:space="preserve"> </w:t>
      </w:r>
      <w:r>
        <w:t xml:space="preserve">between these two formulations are (i) that the 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B. Connors,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developed from commercial tagging data with 1 year at liberty.</w:t>
      </w:r>
      <w:r>
        <w:t xml:space="preserve"> </w:t>
      </w:r>
      <w:r>
        <w:t xml:space="preserve">To improve estimates of legal and sub-legal fishing mortality from the</w:t>
      </w:r>
      <w:r>
        <w:t xml:space="preserve"> </w:t>
      </w:r>
      <w:r>
        <w:t xml:space="preserve">trawl sector, we leveraged catch-at-age and catch-at-length data</w:t>
      </w:r>
      <w:r>
        <w:t xml:space="preserve"> </w:t>
      </w:r>
      <w:r>
        <w:t xml:space="preserve">from the trawl sector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The</w:t>
      </w:r>
      <w:r>
        <w:t xml:space="preserve"> </w:t>
      </w:r>
      <w:r>
        <w:t xml:space="preserve">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cases considered..</w:t>
      </w:r>
    </w:p>
    <w:p>
      <w:pPr>
        <w:pStyle w:val="ImageCaption"/>
      </w:pPr>
      <w:r>
        <w:t xml:space="preserve">Figure 1: Estimated standard deviation of observed ages for the two cases considered..</w:t>
      </w:r>
    </w:p>
    <w:p>
      <w:pPr>
        <w:pStyle w:val="CaptionedFigure"/>
      </w:pPr>
      <w:r>
        <w:t xml:space="preserve">Figure 2: Probability of observed ages given the true age indicated in top right corner of each plot for both cases considered.</w:t>
      </w:r>
    </w:p>
    <w:p>
      <w:pPr>
        <w:pStyle w:val="ImageCaption"/>
      </w:pPr>
      <w:r>
        <w:t xml:space="preserve">Figure 2: Probability of observed ages given the true age indicated in top right corner of each plot for both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male catch-at-age compositions generated by the trawl age-length key from length observations of male and unsexed fish.</w:t>
      </w:r>
    </w:p>
    <w:p>
      <w:pPr>
        <w:pStyle w:val="ImageCaption"/>
      </w:pPr>
      <w:r>
        <w:t xml:space="preserve">Figure 4: Inferred male catch-at-age compositions generated by the trawl age-length key from length observations of male and unsexed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 Elsevier.</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 NRC Research Press.</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2019-10-22T21:27:32Z</dcterms:created>
  <dcterms:modified xsi:type="dcterms:W3CDTF">2019-10-22T21:27:32Z</dcterms:modified>
</cp:coreProperties>
</file>