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appendices"/>
      <w:r>
        <w:t xml:space="preserve">Appendices</w:t>
      </w:r>
      <w:bookmarkEnd w:id="20"/>
    </w:p>
    <w:p>
      <w:pPr>
        <w:pStyle w:val="Heading1"/>
      </w:pPr>
      <w:bookmarkStart w:id="21" w:name="appendix-a-updated-operating-model-components"/>
      <w:r>
        <w:t xml:space="preserve">Appendix A: Updated operating model components</w:t>
      </w:r>
      <w:bookmarkEnd w:id="21"/>
    </w:p>
    <w:p>
      <w:pPr>
        <w:pStyle w:val="Heading2"/>
      </w:pPr>
      <w:bookmarkStart w:id="22" w:name="updated-ageing-error-matrix"/>
      <w:r>
        <w:t xml:space="preserve">Updated ageing error matrix</w:t>
      </w:r>
      <w:bookmarkEnd w:id="2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23" w:name="trawl-age-length-key-and-updated-selectivity-curve"/>
      <w:r>
        <w:t xml:space="preserve">Trawl Age-Length Key and updated selectivity curve</w:t>
      </w:r>
      <w:bookmarkEnd w:id="2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24" w:name="tables"/>
      <w:r>
        <w:t xml:space="preserve">Tables</w:t>
      </w:r>
      <w:bookmarkEnd w:id="24"/>
    </w:p>
    <w:p>
      <w:pPr>
        <w:pStyle w:val="TableCaption"/>
      </w:pPr>
      <w:r>
        <w:t xml:space="preserve">Table 1: Ageing error model parameters for both true age cases tested.</w:t>
      </w:r>
    </w:p>
    <w:tbl>
      <w:tblPr>
        <w:tblStyle w:val="Table"/>
        <w:tblW w:type="pct" w:w="0.0"/>
        <w:tblLook w:firstRow="1"/>
        <w:tblCaption w:val="Table 1: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25" w:name="figures"/>
      <w:r>
        <w:t xml:space="preserve">Figures</w:t>
      </w:r>
      <w:bookmarkEnd w:id="25"/>
    </w:p>
    <w:p>
      <w:pPr>
        <w:pStyle w:val="CaptionedFigure"/>
      </w:pPr>
      <w:r>
        <w:t xml:space="preserve">Figure 1: Estimated standard deviation of observed ages for the two age assignment cases cases considered.</w:t>
      </w:r>
    </w:p>
    <w:p>
      <w:pPr>
        <w:pStyle w:val="ImageCaption"/>
      </w:pPr>
      <w:r>
        <w:t xml:space="preserve">Figure 1: Estimated standard deviation of observed ages for the two age assignment cases cases considered.</w:t>
      </w:r>
    </w:p>
    <w:p>
      <w:pPr>
        <w:pStyle w:val="CaptionedFigure"/>
      </w:pPr>
      <w:r>
        <w:t xml:space="preserve">Figure 2: Probability of observed ages given the true age indicated in top right corner of each panel for the two age assignment cases considered.</w:t>
      </w:r>
    </w:p>
    <w:p>
      <w:pPr>
        <w:pStyle w:val="ImageCaption"/>
      </w:pPr>
      <w:r>
        <w:t xml:space="preserve">Figure 2: Probability of observed ages given the true age indicated in top right corner of each panel for the two age assignment cases considered.</w:t>
      </w:r>
    </w:p>
    <w:p>
      <w:pPr>
        <w:pStyle w:val="CaptionedFigure"/>
      </w:pPr>
      <w:r>
        <w:t xml:space="preserve">Figure 3: Inferred male catch-at-age compositions generated by the trawl age-length key from length observations of male and unsexed fish.</w:t>
      </w:r>
    </w:p>
    <w:p>
      <w:pPr>
        <w:pStyle w:val="ImageCaption"/>
      </w:pPr>
      <w:r>
        <w:t xml:space="preserve">Figure 3: Inferred male catch-at-age compositions generated by the trawl age-length key from length observations of male and unsexed fish.</w:t>
      </w:r>
    </w:p>
    <w:p>
      <w:pPr>
        <w:pStyle w:val="CaptionedFigure"/>
      </w:pPr>
      <w:r>
        <w:t xml:space="preserve">Figure 4: Inferred female catch-at-age compositions generated by the trawl age-length key from length observations of female fish</w:t>
      </w:r>
    </w:p>
    <w:p>
      <w:pPr>
        <w:pStyle w:val="ImageCaption"/>
      </w:pPr>
      <w:r>
        <w:t xml:space="preserve">Figure 4: Inferred female catch-at-age compositions generated by the trawl age-length key from length observations of female fish</w:t>
      </w:r>
    </w:p>
    <w:p>
      <w:pPr>
        <w:pStyle w:val="CaptionedFigure"/>
      </w:pPr>
      <w:r>
        <w:t xml:space="preserve">Figure 5: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5: Trawl selectivity-at-length curves from the 2016 operating model (dashed grey line) and 2019 operating model (solid black line), and the legal size limit (vertical red dashed line). The length axis starts at the modeled length at age-1 of 32cm.</w:t>
      </w:r>
    </w:p>
    <w:bookmarkStart w:id="32" w:name="refs"/>
    <w:bookmarkStart w:id="26" w:name="ref-cox2019evaluating"/>
    <w:p>
      <w:pPr>
        <w:pStyle w:val="Bibliography"/>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26"/>
    <w:bookmarkStart w:id="27" w:name="ref-hanselman2012statistical"/>
    <w:p>
      <w:pPr>
        <w:pStyle w:val="Bibliography"/>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27"/>
    <w:bookmarkStart w:id="28" w:name="ref-heifetz1999age"/>
    <w:p>
      <w:pPr>
        <w:pStyle w:val="Bibliography"/>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28"/>
    <w:bookmarkStart w:id="29" w:name="ref-lai1987effects"/>
    <w:p>
      <w:pPr>
        <w:pStyle w:val="Bibliography"/>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29"/>
    <w:bookmarkStart w:id="30" w:name="ref-richards1992statistical"/>
    <w:p>
      <w:pPr>
        <w:pStyle w:val="Bibliography"/>
      </w:pPr>
      <w:r>
        <w:t xml:space="preserve">Richards, L.J., Schnute, J.T., Kronlund, A., and Beamish, R.J. 1992. Statistical models for the analysis of ageing error. Canadian Journal of Fisheries and Aquatic Sciences 49(9): 1801–1815.</w:t>
      </w:r>
    </w:p>
    <w:bookmarkEnd w:id="30"/>
    <w:bookmarkStart w:id="31" w:name="ref-tyler1989implications"/>
    <w:p>
      <w:pPr>
        <w:pStyle w:val="Bibliography"/>
      </w:pPr>
      <w:r>
        <w:t xml:space="preserve">Tyler, A., Beamish, R., and McFarlane, G. 1989. Implications of age determination errors to yield estimates. Canadian Special Publication of Fisheries and Aquatic Sciences 108: 27–35.</w:t>
      </w:r>
    </w:p>
    <w:bookmarkEnd w:id="31"/>
    <w:bookmarkEnd w:id="32"/>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2019-11-19T18:17:38Z</dcterms:created>
  <dcterms:modified xsi:type="dcterms:W3CDTF">2019-11-19T18:17:38Z</dcterms:modified>
</cp:coreProperties>
</file>