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75" w:rsidRDefault="00D30375" w:rsidP="00D30375">
      <w:r>
        <w:t># Conclusions</w:t>
      </w:r>
    </w:p>
    <w:p w:rsidR="00D30375" w:rsidRDefault="00D30375" w:rsidP="00D30375"/>
    <w:p w:rsidR="00AA59F4" w:rsidRDefault="00D30375" w:rsidP="00D30375">
      <w:r>
        <w:t xml:space="preserve">La </w:t>
      </w:r>
      <w:r w:rsidR="002C0199">
        <w:t>procédure de gestion (</w:t>
      </w:r>
      <w:r>
        <w:t>PG</w:t>
      </w:r>
      <w:r w:rsidR="002C0199">
        <w:t>)</w:t>
      </w:r>
      <w:r>
        <w:t xml:space="preserve"> actuelle pour la morue charbonnière canadienne (PG15, **</w:t>
      </w:r>
      <w:r w:rsidR="002C0199">
        <w:t>sans plafond</w:t>
      </w:r>
      <w:r>
        <w:t xml:space="preserve">**), qui ne comporte aucune limite des remises à l’eau, a </w:t>
      </w:r>
      <w:r w:rsidR="002C0199">
        <w:t xml:space="preserve">permis </w:t>
      </w:r>
      <w:r>
        <w:t>d’atteindre les objectifs biologiques (c.-à-d. les objectif</w:t>
      </w:r>
      <w:r w:rsidR="002C0199">
        <w:t xml:space="preserve">s de </w:t>
      </w:r>
      <w:bookmarkStart w:id="0" w:name="_GoBack"/>
      <w:r w:rsidR="002C0199">
        <w:t>pêche</w:t>
      </w:r>
      <w:bookmarkEnd w:id="0"/>
      <w:r w:rsidR="002C0199">
        <w:t xml:space="preserve"> 1 à 3) en vertu des modèles d’exploitation de référence et de robustesse. Toutefois, ell</w:t>
      </w:r>
      <w:r>
        <w:t>e s</w:t>
      </w:r>
      <w:r w:rsidR="002C0199">
        <w:t>’est</w:t>
      </w:r>
      <w:r>
        <w:t xml:space="preserve"> classée presque au dernier rang pour ce qui est du rendement des prises, comparativement aux procédures de gestion comptant des mesures de gestion des remises à </w:t>
      </w:r>
      <w:r w:rsidR="002C0199">
        <w:t>l</w:t>
      </w:r>
      <w:r w:rsidR="00FB21FF">
        <w:t>’</w:t>
      </w:r>
      <w:r w:rsidR="002C0199">
        <w:t>eau. En ce qui concerne les procédures de gestion</w:t>
      </w:r>
      <w:r>
        <w:t xml:space="preserve"> prévoyant la gestion des remises à l’eau, la PG14 (sans limite de taille), la PG17 (plafond de 0</w:t>
      </w:r>
      <w:r w:rsidR="00AA59F4">
        <w:t> %</w:t>
      </w:r>
      <w:r>
        <w:t>, amortissement sur 5 ans) et la PG3 (plafond de 50</w:t>
      </w:r>
      <w:r w:rsidR="00AA59F4">
        <w:t> %</w:t>
      </w:r>
      <w:r>
        <w:t>, allocation historique et amortissement sur 5 ans) se sont classées le plus souvent parmi les trois me</w:t>
      </w:r>
      <w:r w:rsidR="002C0199">
        <w:t>illeures, tant au chapitre des modèles d’exploitation</w:t>
      </w:r>
      <w:r>
        <w:t xml:space="preserve"> de référence que de ceux de robustesse, dans la mesure où les taux maximaux de mortalité cibles avaient été rajustés en fonction des trois objectifs de pêche.</w:t>
      </w:r>
    </w:p>
    <w:p w:rsidR="00D30375" w:rsidRDefault="00D30375" w:rsidP="00D30375"/>
    <w:p w:rsidR="00D30375" w:rsidRDefault="005E4E23" w:rsidP="00D30375">
      <w:r>
        <w:t xml:space="preserve">Comme l’évaluation des stratégies de gestion </w:t>
      </w:r>
      <w:r w:rsidR="002C0199">
        <w:t>précédente l’a indiqué, les procédures de gestion</w:t>
      </w:r>
      <w:r w:rsidR="00D30375">
        <w:t xml:space="preserve"> sans limite de taille produisent une moyenne annuelle des prises débarquées plus élevée, tout en permettant à la pêche d’atteindre les objectifs biolo</w:t>
      </w:r>
      <w:r w:rsidR="00AE05AC">
        <w:t xml:space="preserve">giques à court et à long terme. </w:t>
      </w:r>
      <w:r w:rsidR="00D30375">
        <w:t>En fait, l’évitement à 100</w:t>
      </w:r>
      <w:r w:rsidR="00AA59F4">
        <w:t> %</w:t>
      </w:r>
      <w:r>
        <w:t xml:space="preserve"> serait supérieur à la procédure de gestion sans limite de taille</w:t>
      </w:r>
      <w:r w:rsidR="00D30375">
        <w:t xml:space="preserve">, mais nous n’en avons pas tenu compte </w:t>
      </w:r>
      <w:r w:rsidR="00AE05AC">
        <w:t>ici</w:t>
      </w:r>
      <w:r w:rsidR="002C0199">
        <w:t xml:space="preserve"> [@cox2019evaluating]. La procédure de gestion</w:t>
      </w:r>
      <w:r w:rsidR="00D30375">
        <w:t xml:space="preserve"> sans limite de taille produit également la plus grande valeur au titre des prises débarquées, ce qui laisse entendre que la bonification des prix accordant une valeur relativement basse à la morue charbonnière de taille inférieure à la taille réglementaire n’a pas beaucoup d’effet sur 10 ans. Ces résultats valent autant pou</w:t>
      </w:r>
      <w:r w:rsidR="002C0199">
        <w:t>r les modèles d’exploitation de référence que les modèles d’exploitation</w:t>
      </w:r>
      <w:r w:rsidR="00D30375">
        <w:t xml:space="preserve"> de robustesse; cependant, il convient de noter que nous n’avons pas inclus les coûts variables de la pêche dans notre analyse. Nous n’avons pas non plus tenu c</w:t>
      </w:r>
      <w:r w:rsidR="00AE05AC">
        <w:t>ompte des conséquences de ces procédures de gestion</w:t>
      </w:r>
      <w:r w:rsidR="00D30375">
        <w:t xml:space="preserve"> sur les pêches qui ciblent d’autres espèces dans le cadre d’une pêche intégrée de poissons de fond</w:t>
      </w:r>
      <w:r w:rsidR="002C0199">
        <w:t xml:space="preserve"> </w:t>
      </w:r>
      <w:r w:rsidR="00D30375">
        <w:t>en Colombie-Britannique.</w:t>
      </w:r>
    </w:p>
    <w:p w:rsidR="00D30375" w:rsidRDefault="00D30375" w:rsidP="00D30375"/>
    <w:p w:rsidR="00AA59F4" w:rsidRDefault="00AE05AC" w:rsidP="00D30375">
      <w:r>
        <w:t>La procédure de gestion</w:t>
      </w:r>
      <w:r w:rsidR="00D30375">
        <w:t xml:space="preserve"> sans limite de taille a fourni en moyenne un excédent annuel des pr</w:t>
      </w:r>
      <w:r w:rsidR="002C0199">
        <w:t>ises débarquées, tant pour les modèles d’exploitation de référence que les modèles d’exploitation</w:t>
      </w:r>
      <w:r w:rsidR="00D30375">
        <w:t xml:space="preserve"> de robustesse, de 500 t et 310 t, respectivement, par rapport à la deuxième </w:t>
      </w:r>
      <w:r>
        <w:t>procédure de gestion</w:t>
      </w:r>
      <w:r w:rsidR="00D30375">
        <w:t xml:space="preserve"> affichant le meilleur rendement. Compte tenu de la structure actuelle des prix en fonction de la taille de la morue charbonnière, ces différences équivalent en moyenne à une valeur totale annuelle des prises débarquées d’environ 8,5 mill</w:t>
      </w:r>
      <w:r w:rsidR="002C0199">
        <w:t>ions de dollars aux termes des modèles d’exploitation</w:t>
      </w:r>
      <w:r w:rsidR="00D30375">
        <w:t xml:space="preserve"> de référence et à 5,</w:t>
      </w:r>
      <w:r>
        <w:t>3 millions de dollars pour les modèles d’exploitation</w:t>
      </w:r>
      <w:r w:rsidR="00D30375">
        <w:t xml:space="preserve"> de robustesse.</w:t>
      </w:r>
    </w:p>
    <w:p w:rsidR="00D30375" w:rsidRDefault="00D30375" w:rsidP="00D30375"/>
    <w:p w:rsidR="00D30375" w:rsidRDefault="00D30375" w:rsidP="00D30375">
      <w:r>
        <w:t xml:space="preserve">Quant aux </w:t>
      </w:r>
      <w:r w:rsidR="00AE05AC">
        <w:t xml:space="preserve">procédures de gestion </w:t>
      </w:r>
      <w:r>
        <w:t xml:space="preserve">comportant une limite de taille, l’écart relatif à la moyenne annuelle des prises varie entre les diverses </w:t>
      </w:r>
      <w:r w:rsidR="00AE05AC">
        <w:t xml:space="preserve">procédures de gestion </w:t>
      </w:r>
      <w:r w:rsidR="002C0199">
        <w:t>de 410 t et 200 t, pour les modèles d’exploitation</w:t>
      </w:r>
      <w:r>
        <w:t xml:space="preserve"> de référence et de robustesse, respectivement. Ces écarts équivalent sur le plan de la valeur moyenne annuelle des prises débarquées totales à environ 7,7</w:t>
      </w:r>
      <w:r w:rsidR="002C0199">
        <w:t> millions de dollars pour les modèles d’exploitation</w:t>
      </w:r>
      <w:r>
        <w:t xml:space="preserve"> de référence et à 3,6 millions de dollars pour les </w:t>
      </w:r>
      <w:r w:rsidR="002C0199">
        <w:t>modèles d’exploitation</w:t>
      </w:r>
      <w:r>
        <w:t xml:space="preserve"> de robustesse.</w:t>
      </w:r>
    </w:p>
    <w:p w:rsidR="00D30375" w:rsidRDefault="00D30375" w:rsidP="00D30375"/>
    <w:p w:rsidR="00D30375" w:rsidRDefault="00D30375" w:rsidP="00D30375">
      <w:r>
        <w:lastRenderedPageBreak/>
        <w:t xml:space="preserve">Le plus grand risque lié à la conservation semble être l’ajustement d’une </w:t>
      </w:r>
      <w:r w:rsidR="00AE05AC">
        <w:t xml:space="preserve">procédure de gestion </w:t>
      </w:r>
      <w:r>
        <w:t xml:space="preserve">en vue d’atteindre les objectifs de </w:t>
      </w:r>
      <w:r w:rsidR="002C0199">
        <w:t>conservation dans le cadre du modèle d’exploitation</w:t>
      </w:r>
      <w:r>
        <w:t xml:space="preserve"> de référence, seulement pour découvrir par la suite que la classe de 2015 a été surestimée ou ne s’est pas matérialisée comme on l’avait espéré (ce qui ne serait pas sans précédent dans l’industrie de la pêche). Nous avons vérifié les répercussions d’un tel scénario en simulant un test croisé du </w:t>
      </w:r>
      <w:r w:rsidR="002C0199">
        <w:t xml:space="preserve">rendement des </w:t>
      </w:r>
      <w:r w:rsidR="00AE05AC">
        <w:t xml:space="preserve">procédures de gestion </w:t>
      </w:r>
      <w:r w:rsidR="002C0199">
        <w:t>en vertu des modèles d’exploitation</w:t>
      </w:r>
      <w:r>
        <w:t xml:space="preserve"> de robustesse</w:t>
      </w:r>
      <w:r w:rsidR="0054799E">
        <w:t>,</w:t>
      </w:r>
      <w:r>
        <w:t xml:space="preserve"> où le taux maximal de mortali</w:t>
      </w:r>
      <w:r w:rsidR="002C0199">
        <w:t xml:space="preserve">té cible était ajusté pour les modèles d’exploitation </w:t>
      </w:r>
      <w:r>
        <w:t>de référence. Comme prévu, le rendement par rapport aux objectifs de pêche 2 et 3 é</w:t>
      </w:r>
      <w:r w:rsidR="0054799E">
        <w:t>tait médiocre pour toutes les procédures de gestion</w:t>
      </w:r>
      <w:r>
        <w:t xml:space="preserve"> testées.</w:t>
      </w:r>
    </w:p>
    <w:p w:rsidR="00D30375" w:rsidRDefault="00D30375" w:rsidP="00D30375"/>
    <w:p w:rsidR="00D30375" w:rsidRDefault="00D30375" w:rsidP="00D30375">
      <w:r>
        <w:t xml:space="preserve">D’autre part, le test croisé inverse — les </w:t>
      </w:r>
      <w:r w:rsidR="00AE05AC">
        <w:t xml:space="preserve">procédures de gestion </w:t>
      </w:r>
      <w:r>
        <w:t>ajustées de</w:t>
      </w:r>
      <w:r w:rsidR="005E4E23">
        <w:t>s modèles d’exploitation</w:t>
      </w:r>
      <w:r w:rsidR="0054799E">
        <w:t xml:space="preserve"> de robustesse par rapport aux modèles d’exploitation</w:t>
      </w:r>
      <w:r>
        <w:t xml:space="preserve"> de référence — a r</w:t>
      </w:r>
      <w:r w:rsidR="005E4E23">
        <w:t xml:space="preserve">évélé que les </w:t>
      </w:r>
      <w:r w:rsidR="00AE05AC">
        <w:t xml:space="preserve">procédures de gestion </w:t>
      </w:r>
      <w:r w:rsidR="005E4E23">
        <w:t>ajustées des modèles d’exploitation</w:t>
      </w:r>
      <w:r>
        <w:t xml:space="preserve"> de robustesse obtiennent de très bons résultats par rapport aux objectifs de</w:t>
      </w:r>
      <w:r w:rsidR="005E4E23">
        <w:t xml:space="preserve"> pêche 1 à 3 dans le cadre des modèles d’exploitation</w:t>
      </w:r>
      <w:r>
        <w:t xml:space="preserve"> de référence. Par conséquent, la perte de rendement associée à l’</w:t>
      </w:r>
      <w:r w:rsidR="005E4E23">
        <w:t xml:space="preserve">adoption d’une </w:t>
      </w:r>
      <w:r w:rsidR="00AE05AC">
        <w:t xml:space="preserve">procédure de gestion </w:t>
      </w:r>
      <w:r w:rsidR="005E4E23">
        <w:t>ajustée d’un modèle d’exploitation</w:t>
      </w:r>
      <w:r>
        <w:t xml:space="preserve"> de robustesse est relativement faible</w:t>
      </w:r>
      <w:r w:rsidR="0054799E">
        <w:t>,</w:t>
      </w:r>
      <w:r>
        <w:t xml:space="preserve"> compte tenu du degré élevé de certitude qui s’ajoute sur le plan du rendement en matière de conservation. Ces rendements annuels sont encore beaucoup plus élevés que ceux des dernières années.</w:t>
      </w:r>
    </w:p>
    <w:p w:rsidR="00D30375" w:rsidRDefault="00D30375" w:rsidP="00D30375"/>
    <w:p w:rsidR="00AA7892" w:rsidRDefault="00D30375" w:rsidP="00D30375">
      <w:r>
        <w:t>Il serait possible de modifier la straté</w:t>
      </w:r>
      <w:r w:rsidR="005E4E23">
        <w:t>gie pour le prochain cycle d’évaluation des stratégies de gestion</w:t>
      </w:r>
      <w:r>
        <w:t xml:space="preserve"> (2020-2022)</w:t>
      </w:r>
      <w:r w:rsidR="0054799E">
        <w:t>,</w:t>
      </w:r>
      <w:r>
        <w:t xml:space="preserve"> alors que la taille des classes de 2015 pourrait être mieux estimée à mesure que s’ajoutent des années de pêche et des données provenant des relevés.</w:t>
      </w:r>
    </w:p>
    <w:p w:rsidR="008A51E5" w:rsidRDefault="008A51E5" w:rsidP="00D30375"/>
    <w:p w:rsidR="008A51E5" w:rsidRDefault="008A51E5" w:rsidP="008A51E5">
      <w:r>
        <w:t>Contributeurs</w:t>
      </w:r>
    </w:p>
    <w:p w:rsidR="008A51E5" w:rsidRDefault="008A51E5" w:rsidP="008A51E5"/>
    <w:p w:rsidR="008A51E5" w:rsidRDefault="008A51E5" w:rsidP="008A51E5">
      <w:r>
        <w:t xml:space="preserve">Nom </w:t>
      </w:r>
      <w:r w:rsidR="00C677A8">
        <w:tab/>
      </w:r>
      <w:r w:rsidR="00C677A8">
        <w:tab/>
      </w:r>
      <w:r w:rsidR="00C677A8">
        <w:tab/>
      </w:r>
      <w:r>
        <w:t>Organisme</w:t>
      </w:r>
    </w:p>
    <w:p w:rsidR="008A51E5" w:rsidRDefault="008A51E5" w:rsidP="008A51E5"/>
    <w:p w:rsidR="008A51E5" w:rsidRDefault="00EF1448" w:rsidP="008A51E5">
      <w:r>
        <w:t>Sean Cox</w:t>
      </w:r>
      <w:r w:rsidR="00C677A8">
        <w:tab/>
      </w:r>
      <w:r w:rsidR="00C677A8">
        <w:tab/>
      </w:r>
      <w:r w:rsidR="008A51E5">
        <w:t xml:space="preserve">Université Simon Fraser, C.-B.; Landmark </w:t>
      </w:r>
      <w:proofErr w:type="spellStart"/>
      <w:r w:rsidR="008A51E5">
        <w:t>Fisheries</w:t>
      </w:r>
      <w:proofErr w:type="spellEnd"/>
      <w:r w:rsidR="008A51E5">
        <w:t xml:space="preserve"> </w:t>
      </w:r>
      <w:proofErr w:type="spellStart"/>
      <w:r w:rsidR="008A51E5">
        <w:t>Research</w:t>
      </w:r>
      <w:proofErr w:type="spellEnd"/>
    </w:p>
    <w:p w:rsidR="008A51E5" w:rsidRDefault="00C677A8" w:rsidP="008A51E5">
      <w:r>
        <w:t>Samuel Johnson</w:t>
      </w:r>
      <w:r>
        <w:tab/>
      </w:r>
      <w:r w:rsidR="008A51E5">
        <w:t xml:space="preserve">Université Simon Fraser, C.-B.; Landmark </w:t>
      </w:r>
      <w:proofErr w:type="spellStart"/>
      <w:r w:rsidR="008A51E5">
        <w:t>Fisheries</w:t>
      </w:r>
      <w:proofErr w:type="spellEnd"/>
      <w:r w:rsidR="008A51E5">
        <w:t xml:space="preserve"> </w:t>
      </w:r>
      <w:proofErr w:type="spellStart"/>
      <w:r w:rsidR="008A51E5">
        <w:t>Research</w:t>
      </w:r>
      <w:proofErr w:type="spellEnd"/>
    </w:p>
    <w:p w:rsidR="008A51E5" w:rsidRDefault="00C677A8" w:rsidP="008A51E5">
      <w:r>
        <w:t>Brendan Connors</w:t>
      </w:r>
      <w:r>
        <w:tab/>
      </w:r>
      <w:r w:rsidR="008A51E5">
        <w:t>Direction des sciences du MPO, région du Pacifique</w:t>
      </w:r>
    </w:p>
    <w:p w:rsidR="008A51E5" w:rsidRDefault="008A51E5" w:rsidP="008A51E5">
      <w:r>
        <w:t>Lindsay Gardner</w:t>
      </w:r>
      <w:r w:rsidR="00C677A8">
        <w:tab/>
      </w:r>
      <w:r>
        <w:t>Direction de la gestion des pêches du MPO, région du Pacifique</w:t>
      </w:r>
    </w:p>
    <w:p w:rsidR="008A51E5" w:rsidRDefault="00C677A8" w:rsidP="008A51E5">
      <w:r>
        <w:t>Sean Anderson</w:t>
      </w:r>
      <w:r>
        <w:tab/>
      </w:r>
      <w:r w:rsidR="008A51E5">
        <w:t>Direction des sciences du MPO, région du Pacifique (examinateur)</w:t>
      </w:r>
    </w:p>
    <w:p w:rsidR="008A51E5" w:rsidRDefault="00C677A8" w:rsidP="008A51E5">
      <w:proofErr w:type="spellStart"/>
      <w:r>
        <w:t>Elise</w:t>
      </w:r>
      <w:proofErr w:type="spellEnd"/>
      <w:r>
        <w:t xml:space="preserve"> </w:t>
      </w:r>
      <w:proofErr w:type="spellStart"/>
      <w:r>
        <w:t>Keppel</w:t>
      </w:r>
      <w:proofErr w:type="spellEnd"/>
      <w:r>
        <w:tab/>
      </w:r>
      <w:r>
        <w:tab/>
      </w:r>
      <w:r w:rsidR="008A51E5">
        <w:t>Direction des sciences du MPO, région du Pacifique (examinatrice)</w:t>
      </w:r>
    </w:p>
    <w:p w:rsidR="008A51E5" w:rsidRDefault="00C677A8" w:rsidP="008A51E5">
      <w:r>
        <w:t>Lisa Christensen</w:t>
      </w:r>
      <w:r>
        <w:tab/>
      </w:r>
      <w:r w:rsidR="008A51E5">
        <w:t>Centre des avis scientifiques du MPO, région du Pacifique (rédactrice)</w:t>
      </w:r>
    </w:p>
    <w:sectPr w:rsidR="008A51E5" w:rsidSect="005072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D0C" w:rsidRDefault="00946D0C" w:rsidP="00FB21FF">
      <w:r>
        <w:separator/>
      </w:r>
    </w:p>
  </w:endnote>
  <w:endnote w:type="continuationSeparator" w:id="0">
    <w:p w:rsidR="00946D0C" w:rsidRDefault="00946D0C" w:rsidP="00FB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D0C" w:rsidRDefault="00946D0C" w:rsidP="00FB21FF">
      <w:r>
        <w:separator/>
      </w:r>
    </w:p>
  </w:footnote>
  <w:footnote w:type="continuationSeparator" w:id="0">
    <w:p w:rsidR="00946D0C" w:rsidRDefault="00946D0C" w:rsidP="00FB2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FF" w:rsidRDefault="00FB21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75"/>
    <w:rsid w:val="0025555F"/>
    <w:rsid w:val="002C0199"/>
    <w:rsid w:val="00507284"/>
    <w:rsid w:val="0054799E"/>
    <w:rsid w:val="005E4E23"/>
    <w:rsid w:val="00715DA5"/>
    <w:rsid w:val="00737E4E"/>
    <w:rsid w:val="007845E2"/>
    <w:rsid w:val="008A51E5"/>
    <w:rsid w:val="008F4F50"/>
    <w:rsid w:val="00946D0C"/>
    <w:rsid w:val="00A54895"/>
    <w:rsid w:val="00AA59F4"/>
    <w:rsid w:val="00AE05AC"/>
    <w:rsid w:val="00C677A8"/>
    <w:rsid w:val="00D30375"/>
    <w:rsid w:val="00EF1448"/>
    <w:rsid w:val="00FB2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7F12F-72A2-374E-AD41-A7CBD9E7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1FF"/>
    <w:pPr>
      <w:tabs>
        <w:tab w:val="center" w:pos="4320"/>
        <w:tab w:val="right" w:pos="8640"/>
      </w:tabs>
    </w:pPr>
  </w:style>
  <w:style w:type="character" w:customStyle="1" w:styleId="HeaderChar">
    <w:name w:val="Header Char"/>
    <w:basedOn w:val="DefaultParagraphFont"/>
    <w:link w:val="Header"/>
    <w:uiPriority w:val="99"/>
    <w:rsid w:val="00FB21FF"/>
  </w:style>
  <w:style w:type="paragraph" w:styleId="Footer">
    <w:name w:val="footer"/>
    <w:basedOn w:val="Normal"/>
    <w:link w:val="FooterChar"/>
    <w:uiPriority w:val="99"/>
    <w:unhideWhenUsed/>
    <w:rsid w:val="00FB21FF"/>
    <w:pPr>
      <w:tabs>
        <w:tab w:val="center" w:pos="4320"/>
        <w:tab w:val="right" w:pos="8640"/>
      </w:tabs>
    </w:pPr>
  </w:style>
  <w:style w:type="character" w:customStyle="1" w:styleId="FooterChar">
    <w:name w:val="Footer Char"/>
    <w:basedOn w:val="DefaultParagraphFont"/>
    <w:link w:val="Footer"/>
    <w:uiPriority w:val="99"/>
    <w:rsid w:val="00FB21FF"/>
  </w:style>
  <w:style w:type="paragraph" w:styleId="BalloonText">
    <w:name w:val="Balloon Text"/>
    <w:basedOn w:val="Normal"/>
    <w:link w:val="BalloonTextChar"/>
    <w:uiPriority w:val="99"/>
    <w:semiHidden/>
    <w:unhideWhenUsed/>
    <w:rsid w:val="00715D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D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888</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Julie Morency</cp:lastModifiedBy>
  <cp:revision>11</cp:revision>
  <cp:lastPrinted>2020-01-09T15:03:00Z</cp:lastPrinted>
  <dcterms:created xsi:type="dcterms:W3CDTF">2019-12-12T14:22:00Z</dcterms:created>
  <dcterms:modified xsi:type="dcterms:W3CDTF">2020-01-09T15:29:00Z</dcterms:modified>
</cp:coreProperties>
</file>