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92" w:rsidRDefault="003C56F2" w:rsidP="003C56F2">
      <w:r>
        <w:t xml:space="preserve">Tableau 1. Paramètre biologique de la moyenne de répartition </w:t>
      </w:r>
      <w:r w:rsidRPr="002F00C5">
        <w:rPr>
          <w:iCs/>
        </w:rPr>
        <w:t>a posteriori</w:t>
      </w:r>
      <w:r>
        <w:t xml:space="preserve"> du modèle d’exploitation (écart-type), estimations des points de référence et indicateurs de l’état des stocks aux fins des ajustements par ra</w:t>
      </w:r>
      <w:r w:rsidR="002F00C5">
        <w:t xml:space="preserve">pport aux données de 2016 et </w:t>
      </w:r>
      <w:r>
        <w:t>de 2018</w:t>
      </w:r>
      <w:r w:rsidR="002F00C5">
        <w:t>.</w:t>
      </w:r>
      <w:r>
        <w:t xml:space="preserve"> Les colonnes \\textbf{</w:t>
      </w:r>
      <w:r w:rsidR="00BD20E2">
        <w:t xml:space="preserve">Ajustement </w:t>
      </w:r>
      <w:r>
        <w:t>2016</w:t>
      </w:r>
      <w:r w:rsidR="00BD20E2">
        <w:t>} et \\textbf{Ajustement</w:t>
      </w:r>
      <w:r>
        <w:t xml:space="preserve"> </w:t>
      </w:r>
      <w:r w:rsidR="00BD20E2">
        <w:t>2018</w:t>
      </w:r>
      <w:r>
        <w:t xml:space="preserve">} montrent la moyenne et l’écart-type de la répartition globale </w:t>
      </w:r>
      <w:r w:rsidRPr="002F00C5">
        <w:rPr>
          <w:iCs/>
        </w:rPr>
        <w:t>a posteriori</w:t>
      </w:r>
      <w:r>
        <w:t xml:space="preserve"> pour les ajustements respectifs, tandis que les autres colonnes représentent les valeurs moyennes </w:t>
      </w:r>
      <w:r w:rsidRPr="002F00C5">
        <w:rPr>
          <w:iCs/>
        </w:rPr>
        <w:t>a posteriori</w:t>
      </w:r>
      <w:r>
        <w:t xml:space="preserve"> des cinq strates </w:t>
      </w:r>
      <w:r w:rsidRPr="002F00C5">
        <w:rPr>
          <w:iCs/>
        </w:rPr>
        <w:t>a posteriori</w:t>
      </w:r>
      <w:r>
        <w:t xml:space="preserve"> définissant les scénarios de productivité et de biomasse indiqués par l’en-tête des colonnes (voir la figure 1). L’état des stocks est présenté par rapport à la biomasse du stock reproducteur ($</w:t>
      </w:r>
      <w:proofErr w:type="spellStart"/>
      <w:r>
        <w:t>B_t</w:t>
      </w:r>
      <w:proofErr w:type="spellEnd"/>
      <w:r>
        <w:t>/B</w:t>
      </w:r>
      <w:proofErr w:type="gramStart"/>
      <w:r>
        <w:t>_{</w:t>
      </w:r>
      <w:proofErr w:type="gramEnd"/>
      <w:r w:rsidR="00BD20E2">
        <w:t>RMS</w:t>
      </w:r>
      <w:r>
        <w:t>}$) en théorie le plus productif de la population non exploitée ($</w:t>
      </w:r>
      <w:proofErr w:type="spellStart"/>
      <w:r>
        <w:t>B_t</w:t>
      </w:r>
      <w:proofErr w:type="spellEnd"/>
      <w:r>
        <w:t>/B_0</w:t>
      </w:r>
      <w:r w:rsidR="00A671CC">
        <w:t> $</w:t>
      </w:r>
      <w:r>
        <w:t>), et le point d</w:t>
      </w:r>
      <w:r w:rsidR="00F5638D">
        <w:t>e référence limite ($</w:t>
      </w:r>
      <w:proofErr w:type="spellStart"/>
      <w:r w:rsidR="00F5638D">
        <w:t>B_t</w:t>
      </w:r>
      <w:proofErr w:type="spellEnd"/>
      <w:r w:rsidR="00F5638D">
        <w:t>/(0,</w:t>
      </w:r>
      <w:r w:rsidR="00BD20E2">
        <w:t>4B_{RMS</w:t>
      </w:r>
      <w:r>
        <w:t>})$) pour la valeur de</w:t>
      </w:r>
      <w:r w:rsidR="00A671CC">
        <w:t> $</w:t>
      </w:r>
      <w:r>
        <w:t>t \</w:t>
      </w:r>
      <w:bookmarkStart w:id="0" w:name="_GoBack"/>
      <w:r>
        <w:t xml:space="preserve">\in </w:t>
      </w:r>
      <w:bookmarkEnd w:id="0"/>
      <w:r>
        <w:t xml:space="preserve">\\{2016, 2018\\}$. Les deux rangées du bas illustrent la </w:t>
      </w:r>
      <w:r w:rsidR="00A366D8">
        <w:t xml:space="preserve">probabilité </w:t>
      </w:r>
      <w:r w:rsidRPr="002F00C5">
        <w:rPr>
          <w:iCs/>
        </w:rPr>
        <w:t>a posteriori</w:t>
      </w:r>
      <w:r>
        <w:t xml:space="preserve"> que la biomasse du stock reproducteur excède le point de référence limite en 2016 et en 2018.</w:t>
      </w:r>
    </w:p>
    <w:p w:rsidR="003C56F2" w:rsidRDefault="003C56F2" w:rsidP="003C56F2"/>
    <w:p w:rsidR="003C56F2" w:rsidRDefault="003C56F2" w:rsidP="003C56F2">
      <w:r>
        <w:t>Tableau 2. Paramètres de pondération du rendement pour toutes les p</w:t>
      </w:r>
      <w:r w:rsidR="00BD20E2">
        <w:t xml:space="preserve">rocédures de gestion examinées </w:t>
      </w:r>
      <w:proofErr w:type="gramStart"/>
      <w:r w:rsidR="00BD20E2">
        <w:t>aux</w:t>
      </w:r>
      <w:proofErr w:type="gramEnd"/>
      <w:r>
        <w:t xml:space="preserve"> \\textbf{</w:t>
      </w:r>
      <w:r w:rsidR="00BD20E2">
        <w:t>modèles d’exploitation de référence</w:t>
      </w:r>
      <w:r>
        <w:t>}</w:t>
      </w:r>
      <w:r w:rsidR="00A366D8">
        <w:t>.</w:t>
      </w:r>
      <w:r>
        <w:t xml:space="preserve"> Les paramètres de rendement en matière de conservation qui répondent au critère de l’en-tête sont indiqués par une puce. La capture est représentée sous forme d’unités de biomasse mesurées en kilotonnes. Le tableau est trié en fonction des prises moyennes sur 10 ans</w:t>
      </w:r>
      <w:r w:rsidR="00A671CC">
        <w:t> $</w:t>
      </w:r>
      <w:r>
        <w:t>\\bar{C</w:t>
      </w:r>
      <w:proofErr w:type="gramStart"/>
      <w:r>
        <w:t>}_</w:t>
      </w:r>
      <w:proofErr w:type="gramEnd"/>
      <w:r>
        <w:t xml:space="preserve">{2019:2028}$. Pour l’objectif 2, </w:t>
      </w:r>
      <w:proofErr w:type="spellStart"/>
      <w:r>
        <w:rPr>
          <w:i/>
          <w:iCs/>
        </w:rPr>
        <w:t>Obs</w:t>
      </w:r>
      <w:proofErr w:type="spellEnd"/>
      <w:r>
        <w:t xml:space="preserve"> fait référence à la </w:t>
      </w:r>
      <w:r w:rsidR="00A366D8">
        <w:t>probabilité</w:t>
      </w:r>
      <w:r>
        <w:t xml:space="preserve"> observée d’un déclin, et </w:t>
      </w:r>
      <w:proofErr w:type="spellStart"/>
      <w:r>
        <w:rPr>
          <w:i/>
          <w:iCs/>
        </w:rPr>
        <w:t>Acc</w:t>
      </w:r>
      <w:proofErr w:type="spellEnd"/>
      <w:r>
        <w:t xml:space="preserve"> à la </w:t>
      </w:r>
      <w:r w:rsidR="00A366D8">
        <w:t>probabilité</w:t>
      </w:r>
      <w:r>
        <w:t xml:space="preserve"> d’un déclin acceptable, </w:t>
      </w:r>
      <w:r w:rsidR="00A366D8">
        <w:t>avec interrelation</w:t>
      </w:r>
      <w:r>
        <w:t xml:space="preserve"> de manière linéaire entre 0,05 à</w:t>
      </w:r>
      <w:r w:rsidR="00A671CC">
        <w:t> $</w:t>
      </w:r>
      <w:r w:rsidR="00E72BBD">
        <w:t>0,</w:t>
      </w:r>
      <w:r>
        <w:t>4B</w:t>
      </w:r>
      <w:proofErr w:type="gramStart"/>
      <w:r>
        <w:t>_{</w:t>
      </w:r>
      <w:proofErr w:type="gramEnd"/>
      <w:r w:rsidR="00BD20E2">
        <w:t>RMS</w:t>
      </w:r>
      <w:r>
        <w:t>}$ et 0,5 à</w:t>
      </w:r>
      <w:r w:rsidR="00A671CC">
        <w:t> $</w:t>
      </w:r>
      <w:r>
        <w:t>B_{</w:t>
      </w:r>
      <w:r w:rsidR="00BD20E2">
        <w:t>RMS</w:t>
      </w:r>
      <w:r>
        <w:t>}$.</w:t>
      </w:r>
      <w:r>
        <w:br/>
      </w:r>
    </w:p>
    <w:p w:rsidR="003C56F2" w:rsidRDefault="003C56F2" w:rsidP="003C56F2">
      <w:r>
        <w:t>Tableau 3. Prix par livre de morue charbonnière dans chaque catégorie de poids</w:t>
      </w:r>
      <w:r w:rsidR="00A366D8">
        <w:t>.</w:t>
      </w:r>
      <w:r>
        <w:t xml:space="preserve"> Les catégories de poids sont définies par les limites de cette catég</w:t>
      </w:r>
      <w:r w:rsidR="002F00C5">
        <w:t>orie, en livres (p. ex.</w:t>
      </w:r>
      <w:r>
        <w:t xml:space="preserve"> 2/3 est la catégorie de poissons pesant entre 2 et 3 livres).</w:t>
      </w:r>
    </w:p>
    <w:p w:rsidR="003C56F2" w:rsidRDefault="003C56F2" w:rsidP="003C56F2"/>
    <w:p w:rsidR="003C56F2" w:rsidRDefault="003C56F2" w:rsidP="003C56F2">
      <w:r>
        <w:t xml:space="preserve">Tableau 4. Paramètres de pondération du rendement économique pour les 10 premières années de la prévision </w:t>
      </w:r>
      <w:proofErr w:type="gramStart"/>
      <w:r w:rsidR="001730D0">
        <w:t>aux</w:t>
      </w:r>
      <w:proofErr w:type="gramEnd"/>
      <w:r>
        <w:t xml:space="preserve"> \\textbf{</w:t>
      </w:r>
      <w:r w:rsidR="001730D0">
        <w:t>modèles d’exploitation de référence</w:t>
      </w:r>
      <w:r>
        <w:t>}</w:t>
      </w:r>
      <w:r w:rsidR="009E1F11">
        <w:t>.</w:t>
      </w:r>
      <w:r>
        <w:t xml:space="preserve"> La colonne 3 illustre la prise moyenne au cours des 10 premières années, et les autres colonnes montrent le tot</w:t>
      </w:r>
      <w:r w:rsidR="001730D0">
        <w:t>al des recettes cumulatives (\\</w:t>
      </w:r>
      <w:r>
        <w:t>m</w:t>
      </w:r>
      <w:r w:rsidR="001730D0">
        <w:t> $</w:t>
      </w:r>
      <w:r>
        <w:t>) des prises</w:t>
      </w:r>
      <w:r w:rsidR="00A671CC">
        <w:t> $</w:t>
      </w:r>
      <w:r>
        <w:t>C$ et des remises à l’eau</w:t>
      </w:r>
      <w:r w:rsidR="00A671CC">
        <w:t> $</w:t>
      </w:r>
      <w:r>
        <w:t>D$ pour chaque secteur, les recettes produites par les prises</w:t>
      </w:r>
      <w:r w:rsidR="00A671CC">
        <w:t> $</w:t>
      </w:r>
      <w:r>
        <w:t>C</w:t>
      </w:r>
      <w:proofErr w:type="gramStart"/>
      <w:r>
        <w:t>^{</w:t>
      </w:r>
      <w:proofErr w:type="spellStart"/>
      <w:proofErr w:type="gramEnd"/>
      <w:r>
        <w:t>tot</w:t>
      </w:r>
      <w:proofErr w:type="spellEnd"/>
      <w:r>
        <w:t>}$ pour tous les secteurs combinés, et les recettes annuelles moyennes</w:t>
      </w:r>
      <w:r w:rsidR="00A671CC">
        <w:t> $</w:t>
      </w:r>
      <w:r>
        <w:t>R$ en dollars par tonne de poissons pris, au cours des 10 années suivante</w:t>
      </w:r>
      <w:r w:rsidR="00A2040C">
        <w:t>s. Toutes les valeurs incluent quatre</w:t>
      </w:r>
      <w:r>
        <w:t xml:space="preserve"> chiffres significatifs. Le tableau est trié en fonction des prises moyennes sur 10 ans</w:t>
      </w:r>
      <w:r w:rsidR="00A671CC">
        <w:t> $</w:t>
      </w:r>
      <w:r>
        <w:t>\\bar{C</w:t>
      </w:r>
      <w:proofErr w:type="gramStart"/>
      <w:r>
        <w:t>}_</w:t>
      </w:r>
      <w:proofErr w:type="gramEnd"/>
      <w:r>
        <w:t>{2019:2028}$.</w:t>
      </w:r>
    </w:p>
    <w:p w:rsidR="003C56F2" w:rsidRDefault="003C56F2" w:rsidP="003C56F2"/>
    <w:p w:rsidR="003C56F2" w:rsidRDefault="003C56F2" w:rsidP="003C56F2">
      <w:r>
        <w:t>Tableau 5. Paramètres de pondération du rendement pour toutes les p</w:t>
      </w:r>
      <w:r w:rsidR="001730D0">
        <w:t xml:space="preserve">rocédures de gestion examinées </w:t>
      </w:r>
      <w:proofErr w:type="gramStart"/>
      <w:r w:rsidR="001730D0">
        <w:t>aux</w:t>
      </w:r>
      <w:proofErr w:type="gramEnd"/>
      <w:r>
        <w:t xml:space="preserve"> \\textbf{</w:t>
      </w:r>
      <w:r w:rsidR="001730D0">
        <w:t>modèles d’exploitation de robustesse</w:t>
      </w:r>
      <w:r>
        <w:t>}</w:t>
      </w:r>
      <w:r w:rsidR="00CE7FFC">
        <w:t>.</w:t>
      </w:r>
      <w:r>
        <w:t xml:space="preserve"> Les paramètres de rendement en matière de conservation qui répondent au critère de l’en-tête sont indiqués par une puce. La capture est représentée sous forme d’unités de biomasse mesurées en kilotonnes. Le tableau est trié en fonction des prises moyennes sur 10 ans</w:t>
      </w:r>
      <w:r w:rsidR="00A671CC">
        <w:t> $</w:t>
      </w:r>
      <w:r>
        <w:t>\\bar{C</w:t>
      </w:r>
      <w:proofErr w:type="gramStart"/>
      <w:r>
        <w:t>}_</w:t>
      </w:r>
      <w:proofErr w:type="gramEnd"/>
      <w:r>
        <w:t xml:space="preserve">{2019:2028}$. Pour l’objectif 2, le terme </w:t>
      </w:r>
      <w:proofErr w:type="spellStart"/>
      <w:r>
        <w:rPr>
          <w:i/>
          <w:iCs/>
        </w:rPr>
        <w:t>Obs</w:t>
      </w:r>
      <w:proofErr w:type="spellEnd"/>
      <w:r>
        <w:t xml:space="preserve"> fait référence à la </w:t>
      </w:r>
      <w:r w:rsidR="00A366D8">
        <w:t>probabilité</w:t>
      </w:r>
      <w:r>
        <w:t xml:space="preserve"> observée d’un déclin, et </w:t>
      </w:r>
      <w:proofErr w:type="spellStart"/>
      <w:r>
        <w:rPr>
          <w:i/>
          <w:iCs/>
        </w:rPr>
        <w:t>Acc</w:t>
      </w:r>
      <w:proofErr w:type="spellEnd"/>
      <w:r>
        <w:t xml:space="preserve"> à la </w:t>
      </w:r>
      <w:r w:rsidR="00A366D8">
        <w:t xml:space="preserve">probabilité </w:t>
      </w:r>
      <w:r>
        <w:t xml:space="preserve">d’un déclin acceptable, </w:t>
      </w:r>
      <w:r w:rsidR="00AE2863">
        <w:t xml:space="preserve">avec interrelation </w:t>
      </w:r>
      <w:r>
        <w:t>de manière linéaire entre 0,05 à</w:t>
      </w:r>
      <w:r w:rsidR="00A671CC">
        <w:t> $</w:t>
      </w:r>
      <w:r w:rsidR="00A2040C">
        <w:t>0,</w:t>
      </w:r>
      <w:r>
        <w:t>4B</w:t>
      </w:r>
      <w:proofErr w:type="gramStart"/>
      <w:r>
        <w:t>_{</w:t>
      </w:r>
      <w:proofErr w:type="gramEnd"/>
      <w:r w:rsidR="00A2040C">
        <w:t>RMS</w:t>
      </w:r>
      <w:r>
        <w:t>}$ et 0,5 à</w:t>
      </w:r>
      <w:r w:rsidR="00A671CC">
        <w:t> $</w:t>
      </w:r>
      <w:r>
        <w:t>B_{</w:t>
      </w:r>
      <w:r w:rsidR="00A2040C">
        <w:t>RMS</w:t>
      </w:r>
      <w:r>
        <w:t>}$.</w:t>
      </w:r>
    </w:p>
    <w:p w:rsidR="003C56F2" w:rsidRDefault="003C56F2" w:rsidP="003C56F2"/>
    <w:p w:rsidR="003C56F2" w:rsidRDefault="003C56F2" w:rsidP="003C56F2">
      <w:r>
        <w:lastRenderedPageBreak/>
        <w:t>Tableau 6. Paramètres de pondération du rendement économique pour les 10 premières années de la prévision à \\textbf{</w:t>
      </w:r>
      <w:r w:rsidR="00A2040C">
        <w:t>modèles d’exploitation de robustesse</w:t>
      </w:r>
      <w:r>
        <w:t>}</w:t>
      </w:r>
      <w:r w:rsidR="00704CEE">
        <w:t>.</w:t>
      </w:r>
      <w:r>
        <w:t xml:space="preserve"> La colonne 3 illustre la prise moyenne au cours des 10 premières années, et les autres colonnes montrent le tot</w:t>
      </w:r>
      <w:r w:rsidR="00A2040C">
        <w:t>al des recettes cumulatives (\\</w:t>
      </w:r>
      <w:r>
        <w:t>m</w:t>
      </w:r>
      <w:r w:rsidR="00A2040C">
        <w:t> $</w:t>
      </w:r>
      <w:r>
        <w:t>) des prises</w:t>
      </w:r>
      <w:r w:rsidR="00A671CC">
        <w:t> $</w:t>
      </w:r>
      <w:r>
        <w:t>C$ et des remises à l’eau</w:t>
      </w:r>
      <w:r w:rsidR="00A671CC">
        <w:t> $</w:t>
      </w:r>
      <w:r>
        <w:t>D$ pour chaque secteur, les recettes produites par les prises</w:t>
      </w:r>
      <w:r w:rsidR="00A671CC">
        <w:t> $</w:t>
      </w:r>
      <w:r>
        <w:t>C</w:t>
      </w:r>
      <w:proofErr w:type="gramStart"/>
      <w:r>
        <w:t>^{</w:t>
      </w:r>
      <w:proofErr w:type="spellStart"/>
      <w:proofErr w:type="gramEnd"/>
      <w:r>
        <w:t>tot</w:t>
      </w:r>
      <w:proofErr w:type="spellEnd"/>
      <w:r>
        <w:t>}$ pour tous les secteurs combinés, et les recettes annuelles moyennes</w:t>
      </w:r>
      <w:r w:rsidR="00A671CC">
        <w:t> $</w:t>
      </w:r>
      <w:r>
        <w:t>R$ en dollars par tonne de poissons pris, au cours des 10 années suivantes</w:t>
      </w:r>
      <w:r w:rsidR="00704CEE">
        <w:t xml:space="preserve">. Toutes les valeurs incluent quatre </w:t>
      </w:r>
      <w:r>
        <w:t>chiffres significatifs. Le tableau est trié en fonction des prises moyennes sur 10 ans</w:t>
      </w:r>
      <w:r w:rsidR="00A671CC">
        <w:t> $</w:t>
      </w:r>
      <w:r>
        <w:t>\\bar{C</w:t>
      </w:r>
      <w:proofErr w:type="gramStart"/>
      <w:r>
        <w:t>}_</w:t>
      </w:r>
      <w:proofErr w:type="gramEnd"/>
      <w:r>
        <w:t>{2019:2028}$.</w:t>
      </w:r>
    </w:p>
    <w:p w:rsidR="003C56F2" w:rsidRDefault="003C56F2" w:rsidP="003C56F2"/>
    <w:p w:rsidR="003C56F2" w:rsidRDefault="003C56F2" w:rsidP="003C56F2">
      <w:r>
        <w:t>Tableau 7. Paramètres de pondération du rendement pour toutes les procédures de gestion examinées, et taux de récolt</w:t>
      </w:r>
      <w:r w:rsidR="0058309D">
        <w:t>e adaptés au rendement indiqué aux</w:t>
      </w:r>
      <w:r>
        <w:t xml:space="preserve"> \\</w:t>
      </w:r>
      <w:proofErr w:type="gramStart"/>
      <w:r>
        <w:t>textbf{</w:t>
      </w:r>
      <w:proofErr w:type="gramEnd"/>
      <w:r w:rsidR="0058309D" w:rsidRPr="0058309D">
        <w:t xml:space="preserve"> </w:t>
      </w:r>
      <w:r w:rsidR="0058309D">
        <w:t>modèles d’exploitation de référence}, et appliqués aux</w:t>
      </w:r>
      <w:r>
        <w:t xml:space="preserve"> \\textbf{</w:t>
      </w:r>
      <w:r w:rsidR="0058309D">
        <w:t xml:space="preserve">modèles d’exploitation de </w:t>
      </w:r>
      <w:r w:rsidR="00525E6B">
        <w:t>robustesse</w:t>
      </w:r>
      <w:r>
        <w:t>} où le recrutement est simulé de manière stochastique hors de la courbe stock-recrutement pour la classe de 2015</w:t>
      </w:r>
      <w:r w:rsidR="00CE7FFC">
        <w:t>.</w:t>
      </w:r>
      <w:r>
        <w:t xml:space="preserve"> Les paramètres de rendement en matière de conservation qui répondent au critère de l’en-tête sont indiqués par une puce. La capture est représentée sous forme d’unités de biomasse mesurées en kilotonnes. Le tableau est trié en fonction des prises moyennes sur 10 ans</w:t>
      </w:r>
      <w:r w:rsidR="00A671CC">
        <w:t> $</w:t>
      </w:r>
      <w:r>
        <w:t>\\bar{C</w:t>
      </w:r>
      <w:proofErr w:type="gramStart"/>
      <w:r>
        <w:t>}_</w:t>
      </w:r>
      <w:proofErr w:type="gramEnd"/>
      <w:r>
        <w:t>{201</w:t>
      </w:r>
      <w:r w:rsidR="00704CEE">
        <w:t xml:space="preserve">9:2028}$. Pour l’objectif 2, </w:t>
      </w:r>
      <w:proofErr w:type="spellStart"/>
      <w:r>
        <w:rPr>
          <w:i/>
          <w:iCs/>
        </w:rPr>
        <w:t>Obs</w:t>
      </w:r>
      <w:proofErr w:type="spellEnd"/>
      <w:r>
        <w:t xml:space="preserve"> fait référence à la </w:t>
      </w:r>
      <w:r w:rsidR="00A366D8">
        <w:t xml:space="preserve">probabilité </w:t>
      </w:r>
      <w:r>
        <w:t xml:space="preserve">observée d’un déclin, et </w:t>
      </w:r>
      <w:proofErr w:type="spellStart"/>
      <w:r>
        <w:rPr>
          <w:i/>
          <w:iCs/>
        </w:rPr>
        <w:t>Acc</w:t>
      </w:r>
      <w:proofErr w:type="spellEnd"/>
      <w:r>
        <w:t xml:space="preserve"> à la </w:t>
      </w:r>
      <w:r w:rsidR="00A366D8">
        <w:t xml:space="preserve">probabilité </w:t>
      </w:r>
      <w:r>
        <w:t xml:space="preserve">d’un déclin acceptable, </w:t>
      </w:r>
      <w:r w:rsidR="00704CEE">
        <w:t>avec interrelation</w:t>
      </w:r>
      <w:r>
        <w:t xml:space="preserve"> de manière linéaire entre 0,05 à</w:t>
      </w:r>
      <w:r w:rsidR="00A671CC">
        <w:t> $</w:t>
      </w:r>
      <w:r w:rsidR="00525E6B">
        <w:t>0,4B</w:t>
      </w:r>
      <w:proofErr w:type="gramStart"/>
      <w:r w:rsidR="00525E6B">
        <w:t>_</w:t>
      </w:r>
      <w:r>
        <w:t>{</w:t>
      </w:r>
      <w:proofErr w:type="gramEnd"/>
      <w:r w:rsidR="00525E6B">
        <w:t>RMS</w:t>
      </w:r>
      <w:r>
        <w:t>}$ et 0,5 à</w:t>
      </w:r>
      <w:r w:rsidR="00A671CC">
        <w:t> $</w:t>
      </w:r>
      <w:r>
        <w:t>B_{</w:t>
      </w:r>
      <w:r w:rsidR="00525E6B">
        <w:t>RMS</w:t>
      </w:r>
      <w:r>
        <w:t>}$.</w:t>
      </w:r>
    </w:p>
    <w:p w:rsidR="003C56F2" w:rsidRDefault="003C56F2" w:rsidP="003C56F2"/>
    <w:p w:rsidR="003C56F2" w:rsidRDefault="003C56F2" w:rsidP="003C56F2">
      <w:r>
        <w:t xml:space="preserve">Tableau 8. Paramètres de rendement pondérés pour toutes les procédures de gestion proposées, avec des taux de récolte adaptés au rendement </w:t>
      </w:r>
      <w:r w:rsidR="00525E6B">
        <w:t>aux</w:t>
      </w:r>
      <w:r>
        <w:t xml:space="preserve"> \\textbf{</w:t>
      </w:r>
      <w:r w:rsidR="00525E6B">
        <w:t xml:space="preserve">modèle d’exploitation de robustesse}, et appliqués </w:t>
      </w:r>
      <w:proofErr w:type="gramStart"/>
      <w:r w:rsidR="00525E6B">
        <w:t>aux</w:t>
      </w:r>
      <w:proofErr w:type="gramEnd"/>
      <w:r>
        <w:t xml:space="preserve"> \\textbf{</w:t>
      </w:r>
      <w:r w:rsidR="00525E6B">
        <w:t>modèles d’exploitation de référence</w:t>
      </w:r>
      <w:r w:rsidR="00AE2863">
        <w:t xml:space="preserve">}, en fonction de la classe d’âge </w:t>
      </w:r>
      <w:r>
        <w:t>élevé</w:t>
      </w:r>
      <w:r w:rsidR="00AE2863">
        <w:t>e</w:t>
      </w:r>
      <w:r>
        <w:t xml:space="preserve"> de 2015</w:t>
      </w:r>
      <w:r w:rsidR="00AE2863">
        <w:t>.</w:t>
      </w:r>
      <w:r>
        <w:t xml:space="preserve"> Les paramètres de rendement en matière de conservation qui répondent au critère de l’en-tête sont indiqués par une puce. La capture est représentée sous forme d’unités de biomasse mesurées en kilotonnes. Le tableau est trié en fonction des prises moyennes sur 10 ans</w:t>
      </w:r>
      <w:r w:rsidR="00A671CC">
        <w:t> $</w:t>
      </w:r>
      <w:r>
        <w:t>\\bar{C</w:t>
      </w:r>
      <w:proofErr w:type="gramStart"/>
      <w:r>
        <w:t>}_</w:t>
      </w:r>
      <w:proofErr w:type="gramEnd"/>
      <w:r>
        <w:t>{201</w:t>
      </w:r>
      <w:r w:rsidR="00AE2863">
        <w:t xml:space="preserve">9:2028}$. Pour l’objectif 2, </w:t>
      </w:r>
      <w:proofErr w:type="spellStart"/>
      <w:r>
        <w:rPr>
          <w:i/>
          <w:iCs/>
        </w:rPr>
        <w:t>Obs</w:t>
      </w:r>
      <w:proofErr w:type="spellEnd"/>
      <w:r>
        <w:t xml:space="preserve"> fait référence à la </w:t>
      </w:r>
      <w:r w:rsidR="00A366D8">
        <w:t xml:space="preserve">probabilité </w:t>
      </w:r>
      <w:r>
        <w:t xml:space="preserve">observée d’un déclin, et </w:t>
      </w:r>
      <w:proofErr w:type="spellStart"/>
      <w:r>
        <w:rPr>
          <w:i/>
          <w:iCs/>
        </w:rPr>
        <w:t>Acc</w:t>
      </w:r>
      <w:proofErr w:type="spellEnd"/>
      <w:r>
        <w:t xml:space="preserve"> à la </w:t>
      </w:r>
      <w:r w:rsidR="00A366D8">
        <w:t xml:space="preserve">probabilité </w:t>
      </w:r>
      <w:r>
        <w:t xml:space="preserve">d’un déclin acceptable, </w:t>
      </w:r>
      <w:r w:rsidR="00AE2863">
        <w:t xml:space="preserve">avec interrelation </w:t>
      </w:r>
      <w:r>
        <w:t>de manière linéaire entre 0,05 à</w:t>
      </w:r>
      <w:r w:rsidR="00A671CC">
        <w:t> $</w:t>
      </w:r>
      <w:r w:rsidR="00525E6B">
        <w:t>0,</w:t>
      </w:r>
      <w:r>
        <w:t>4B</w:t>
      </w:r>
      <w:proofErr w:type="gramStart"/>
      <w:r>
        <w:t>_{</w:t>
      </w:r>
      <w:proofErr w:type="gramEnd"/>
      <w:r w:rsidR="00525E6B">
        <w:t>RMS</w:t>
      </w:r>
      <w:r>
        <w:t>}$ et 0,5 à</w:t>
      </w:r>
      <w:r w:rsidR="00A671CC">
        <w:t> $</w:t>
      </w:r>
      <w:r>
        <w:t>B_{</w:t>
      </w:r>
      <w:r w:rsidR="00525E6B">
        <w:t>RMS</w:t>
      </w:r>
      <w:r>
        <w:t>}$.</w:t>
      </w:r>
    </w:p>
    <w:sectPr w:rsidR="003C56F2" w:rsidSect="005072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2E2" w:rsidRDefault="003E22E2" w:rsidP="00CE7FFC">
      <w:r>
        <w:separator/>
      </w:r>
    </w:p>
  </w:endnote>
  <w:endnote w:type="continuationSeparator" w:id="0">
    <w:p w:rsidR="003E22E2" w:rsidRDefault="003E22E2" w:rsidP="00CE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FFC" w:rsidRDefault="00CE7F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FFC" w:rsidRDefault="00CE7F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FFC" w:rsidRDefault="00CE7F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2E2" w:rsidRDefault="003E22E2" w:rsidP="00CE7FFC">
      <w:r>
        <w:separator/>
      </w:r>
    </w:p>
  </w:footnote>
  <w:footnote w:type="continuationSeparator" w:id="0">
    <w:p w:rsidR="003E22E2" w:rsidRDefault="003E22E2" w:rsidP="00CE7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FFC" w:rsidRDefault="00CE7F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FFC" w:rsidRDefault="00CE7F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FFC" w:rsidRDefault="00CE7F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F2"/>
    <w:rsid w:val="000C2117"/>
    <w:rsid w:val="001730D0"/>
    <w:rsid w:val="002541F2"/>
    <w:rsid w:val="00277BEF"/>
    <w:rsid w:val="002F00C5"/>
    <w:rsid w:val="003C56F2"/>
    <w:rsid w:val="003E0076"/>
    <w:rsid w:val="003E22E2"/>
    <w:rsid w:val="00412E40"/>
    <w:rsid w:val="004A4886"/>
    <w:rsid w:val="00507284"/>
    <w:rsid w:val="00525E6B"/>
    <w:rsid w:val="00572304"/>
    <w:rsid w:val="0058309D"/>
    <w:rsid w:val="00704CEE"/>
    <w:rsid w:val="0078377B"/>
    <w:rsid w:val="009E1F11"/>
    <w:rsid w:val="00A2040C"/>
    <w:rsid w:val="00A366D8"/>
    <w:rsid w:val="00A54895"/>
    <w:rsid w:val="00A671CC"/>
    <w:rsid w:val="00AE2863"/>
    <w:rsid w:val="00BD20E2"/>
    <w:rsid w:val="00CE7FFC"/>
    <w:rsid w:val="00E72BBD"/>
    <w:rsid w:val="00E92F3C"/>
    <w:rsid w:val="00F5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0C32BF-D975-40BF-8151-05D21870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F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FC"/>
  </w:style>
  <w:style w:type="paragraph" w:styleId="Footer">
    <w:name w:val="footer"/>
    <w:basedOn w:val="Normal"/>
    <w:link w:val="FooterChar"/>
    <w:uiPriority w:val="99"/>
    <w:unhideWhenUsed/>
    <w:rsid w:val="00CE7F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FC"/>
  </w:style>
  <w:style w:type="character" w:styleId="Hyperlink">
    <w:name w:val="Hyperlink"/>
    <w:basedOn w:val="DefaultParagraphFont"/>
    <w:uiPriority w:val="99"/>
    <w:unhideWhenUsed/>
    <w:rsid w:val="00BD20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0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3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Connors</dc:creator>
  <cp:keywords/>
  <dc:description/>
  <cp:lastModifiedBy>Julie Morency</cp:lastModifiedBy>
  <cp:revision>18</cp:revision>
  <cp:lastPrinted>2020-01-09T15:35:00Z</cp:lastPrinted>
  <dcterms:created xsi:type="dcterms:W3CDTF">2019-11-25T18:31:00Z</dcterms:created>
  <dcterms:modified xsi:type="dcterms:W3CDTF">2020-01-09T15:45:00Z</dcterms:modified>
</cp:coreProperties>
</file>