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0047AB"/>
          <w:sz w:val="44"/>
          <w:szCs w:val="44"/>
        </w:rPr>
        <w:t xml:space="preserve">VOKATRA-KO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ERP de gestion de stock, ventes, achats et comptabilité</w:t>
      </w:r>
    </w:p>
    <w:p>
      <w:pPr>
        <w:jc w:val="center"/>
      </w:pPr>
      <w:r>
        <w:rPr>
          <w:sz w:val="22"/>
          <w:szCs w:val="22"/>
        </w:rPr>
        <w:t xml:space="preserve">Documentation complète du projet — de A à Z</w:t>
      </w:r>
    </w:p>
    <w:p>
      <w:pPr>
        <w:spacing w:after="120"/>
        <w:jc w:val="center"/>
      </w:pPr>
      <w:r>
        <w:rPr>
          <w:i/>
          <w:iCs/>
          <w:color w:val="777777"/>
          <w:sz w:val="20"/>
          <w:szCs w:val="20"/>
        </w:rPr>
        <w:t xml:space="preserve">Contexte Madagascar · Devise Ariary (Ar)</w:t>
      </w:r>
    </w:p>
    <w:p>
      <w:pPr>
        <w:jc w:val="center"/>
      </w:pPr>
      <w:r>
        <w:rPr>
          <w:color w:val="999999"/>
          <w:sz w:val="18"/>
          <w:szCs w:val="18"/>
        </w:rPr>
        <w:t xml:space="preserve">Généré le 2026-07-27</w:t>
      </w:r>
    </w:p>
    <w:p>
      <w:pPr>
        <w:pageBreakBefore/>
      </w:pP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1. Présentation générale</w:t>
      </w:r>
    </w:p>
    <w:p>
      <w:pPr>
        <w:spacing w:after="100"/>
      </w:pPr>
      <w:r>
        <w:rPr>
          <w:b/>
          <w:bCs/>
        </w:rPr>
        <w:t xml:space="preserve">Vokatra-ko</w:t>
      </w:r>
      <w:r>
        <w:t xml:space="preserve"> (« mon produit » en malgache) est un logiciel de gestion d'entreprise (ERP) complet, pensé pour une petite/moyenne structure à Madagascar. Il centralise le stock, les ventes en caisse, les achats fournisseurs, les livraisons, les clients et la comptabilité de base.</w:t>
      </w:r>
    </w:p>
    <w:p>
      <w:pPr>
        <w:spacing w:after="100"/>
      </w:pPr>
      <w:r>
        <w:t xml:space="preserve">Noms successifs du projet au fil de son évolution : StockFlow → Invenzo → Vokatra-ko (nom actuel). La raison sociale et les initiales du logo sont administrables.</w:t>
      </w:r>
    </w:p>
    <w:p>
      <w:pPr>
        <w:pStyle w:val="Heading2"/>
        <w:spacing w:after="80" w:before="180"/>
      </w:pPr>
      <w:r>
        <w:rPr>
          <w:b/>
          <w:bCs/>
        </w:rPr>
        <w:t xml:space="preserve">À quoi ça sert (en une phrase)</w:t>
      </w:r>
    </w:p>
    <w:p>
      <w:pPr>
        <w:spacing w:after="100"/>
      </w:pPr>
      <w:r>
        <w:t xml:space="preserve">Savoir en temps réel ce qu'on a en stock, ce qu'on vend, ce qu'on achète, ce qu'on nous doit (créances) et ce qu'on doit (dettes fournisseurs) — et suivre la rentabilité (marge, TVA, résultat).</w:t>
      </w:r>
    </w:p>
    <w:p>
      <w:pPr>
        <w:pStyle w:val="Heading2"/>
        <w:spacing w:after="80" w:before="180"/>
      </w:pPr>
      <w:r>
        <w:rPr>
          <w:b/>
          <w:bCs/>
        </w:rPr>
        <w:t xml:space="preserve">Technologies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Interface (front)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React 19 + Vite + Tailwind CSS v4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Serveur (API)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Express (Node.js), point d'entrée src/server.ts, port 3001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 de données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PostgreSQL 16 (via l'ORM Drizzle)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Authentification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Maison — jetons JWT + mots de passe chiffrés (bcrypt)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Temps réel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Server-Sent Events (SSE) — notifications instantanées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Devise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 Ariary (MGA), affichage Ar ou € converti (taux configurable)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Assistant IA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Claude (Anthropic) — résumé d'activité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Hébergement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 ligne sur Render (redéploiement auto à chaque mise à jour)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047AB"/>
        </w:rPr>
        <w:t xml:space="preserve">2. Architecture technique</w:t>
      </w:r>
    </w:p>
    <w:p>
      <w:pPr>
        <w:spacing w:after="100"/>
      </w:pPr>
      <w:r>
        <w:t xml:space="preserve">L'application est composée de deux parties qui tournent ensemble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 front (navigateur)</w:t>
      </w:r>
      <w:r>
        <w:t xml:space="preserve"> : ce que voit l'utilisateur (les écrans, onglets, boutons). Développé en React.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L'API (serveur)</w:t>
      </w:r>
      <w:r>
        <w:t xml:space="preserve"> : reçoit les demandes du front, lit/écrit dans la base PostgreSQL, applique les règles de sécurité. Le navigateur ne parle jamais directement à la base.</w:t>
      </w:r>
    </w:p>
    <w:p>
      <w:pPr>
        <w:spacing w:after="100"/>
      </w:pPr>
      <w:r>
        <w:t xml:space="preserve">En production (Render), un seul service web sert à la fois l'API et le front sur la même adresse. Les nouvelles tables se créent automatiquement au démarrage du serveur (mécanisme « ensureSchema »).</w:t>
      </w:r>
    </w:p>
    <w:p>
      <w:pPr>
        <w:pStyle w:val="Heading2"/>
        <w:spacing w:after="80" w:before="180"/>
      </w:pPr>
      <w:r>
        <w:rPr>
          <w:b/>
          <w:bCs/>
        </w:rPr>
        <w:t xml:space="preserve">Organisation des fichiers (repères)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Dossier / fichier</w:t>
            </w:r>
          </w:p>
        </w:tc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src/components/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Les écrans React (un fichier par onglet)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src/services/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 lien front → API (appels réseau) + logique partagée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src/server/routes/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Les routes de l'API (un fichier par ressource)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src/db/schema.ts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 définition des tables de la base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src/services/permissions.ts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 source de vérité des droits (rôles)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RECAP.md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Récapitulatif technique détaillé et à jour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047AB"/>
        </w:rPr>
        <w:t xml:space="preserve">3. Démarrage &amp; comptes</w:t>
      </w:r>
    </w:p>
    <w:p>
      <w:pPr>
        <w:spacing w:after="100"/>
      </w:pPr>
      <w:r>
        <w:t xml:space="preserve">En local, l'app se lance avec deux commandes (voir GUIDE_INSTALLATION.md) : l'API (npm run server) et le front (npm run dev), puis on ouvre http://localhost:3000.</w:t>
      </w:r>
    </w:p>
    <w:p>
      <w:pPr>
        <w:pStyle w:val="Heading2"/>
        <w:spacing w:after="80" w:before="180"/>
      </w:pPr>
      <w:r>
        <w:rPr>
          <w:b/>
          <w:bCs/>
        </w:rPr>
        <w:t xml:space="preserve">Première connexion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 tout premier compte créé sur une base vide devient automatiquement « Super Admin » (le propriétaire).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Ensuite, l'inscription publique est fermée : les comptes suivants se créent depuis l'onglet Utilisateurs (réservé aux administrateurs).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4. Les modules (onglets)</w:t>
      </w:r>
    </w:p>
    <w:p>
      <w:pPr>
        <w:spacing w:after="100"/>
      </w:pPr>
      <w:r>
        <w:t xml:space="preserve">Chaque onglet correspond à un métier. Voici ce que fait chacun :</w:t>
      </w:r>
    </w:p>
    <w:p>
      <w:pPr>
        <w:spacing w:after="20" w:before="100"/>
      </w:pPr>
      <w:r>
        <w:rPr>
          <w:b/>
          <w:bCs/>
          <w:color w:val="0047AB"/>
        </w:rPr>
        <w:t xml:space="preserve">Tableau de bord</w:t>
      </w:r>
    </w:p>
    <w:p>
      <w:pPr>
        <w:spacing w:after="100"/>
      </w:pPr>
      <w:r>
        <w:t xml:space="preserve">Vue d'ensemble : indicateurs clés (KPI), graphiques, alertes cliquables (ruptures, périmés), performance commerciale (7/30/90 jours), recettes/dépenses/solde, et la carte « Résumé d'activité (IA) ».</w:t>
      </w:r>
    </w:p>
    <w:p>
      <w:pPr>
        <w:spacing w:after="20" w:before="100"/>
      </w:pPr>
      <w:r>
        <w:rPr>
          <w:b/>
          <w:bCs/>
          <w:color w:val="0047AB"/>
        </w:rPr>
        <w:t xml:space="preserve">Articles &amp; Stocks</w:t>
      </w:r>
    </w:p>
    <w:p>
      <w:pPr>
        <w:spacing w:after="100"/>
      </w:pPr>
      <w:r>
        <w:t xml:space="preserve">Le catalogue produits : création/modification, catégories &amp; sous-catégories, marques, entrepôts, unité de mesure, code-barres EAN-13 (génération + étiquette imprimable), colonne fournisseur, ajustement rapide de stock.</w:t>
      </w:r>
    </w:p>
    <w:p>
      <w:pPr>
        <w:spacing w:after="20" w:before="100"/>
      </w:pPr>
      <w:r>
        <w:rPr>
          <w:b/>
          <w:bCs/>
          <w:color w:val="0047AB"/>
        </w:rPr>
        <w:t xml:space="preserve">Caisse POS</w:t>
      </w:r>
    </w:p>
    <w:p>
      <w:pPr>
        <w:spacing w:after="100"/>
      </w:pPr>
      <w:r>
        <w:t xml:space="preserve">La vente au comptoir : panier, quantités, remise, moyens de paiement, livraison, paiement partiel/à crédit, TVA optionnelle, prix éditable par ligne (tarif client appliqué automatiquement, vente à perte bloquée), impression du reçu (ticket 80 mm ou facture A4).</w:t>
      </w:r>
    </w:p>
    <w:p>
      <w:pPr>
        <w:spacing w:after="20" w:before="100"/>
      </w:pPr>
      <w:r>
        <w:rPr>
          <w:b/>
          <w:bCs/>
          <w:color w:val="0047AB"/>
        </w:rPr>
        <w:t xml:space="preserve">Ventes</w:t>
      </w:r>
    </w:p>
    <w:p>
      <w:pPr>
        <w:spacing w:after="100"/>
      </w:pPr>
      <w:r>
        <w:t xml:space="preserve">Le journal de toutes les ventes : filtre Jour/Mois/Année (ou dates personnalisées), synthèse (nb ventes, CA, encaissé, reste dû), détail d'une vente et réimpression du reçu, export PDF/Excel.</w:t>
      </w:r>
    </w:p>
    <w:p>
      <w:pPr>
        <w:spacing w:after="20" w:before="100"/>
      </w:pPr>
      <w:r>
        <w:rPr>
          <w:b/>
          <w:bCs/>
          <w:color w:val="0047AB"/>
        </w:rPr>
        <w:t xml:space="preserve">Créances Clients</w:t>
      </w:r>
    </w:p>
    <w:p>
      <w:pPr>
        <w:spacing w:after="100"/>
      </w:pPr>
      <w:r>
        <w:t xml:space="preserve">Ce que les clients doivent : avances et reste dû par vente, encaissements, historique des règlements, et établissement d'avoirs (notes de crédit).</w:t>
      </w:r>
    </w:p>
    <w:p>
      <w:pPr>
        <w:spacing w:after="20" w:before="100"/>
      </w:pPr>
      <w:r>
        <w:rPr>
          <w:b/>
          <w:bCs/>
          <w:color w:val="0047AB"/>
        </w:rPr>
        <w:t xml:space="preserve">Clients &amp; Fournisseurs</w:t>
      </w:r>
    </w:p>
    <w:p>
      <w:pPr>
        <w:spacing w:after="100"/>
      </w:pPr>
      <w:r>
        <w:t xml:space="preserve">Les tiers commerciaux : fiches clients (fidélité, encours) et fournisseurs (coffre-fort documents). Panneau « Produits fournis » par fournisseur (prix négocié) et panneau « Tarifs » par client (prix de vente négocié).</w:t>
      </w:r>
    </w:p>
    <w:p>
      <w:pPr>
        <w:spacing w:after="20" w:before="100"/>
      </w:pPr>
      <w:r>
        <w:rPr>
          <w:b/>
          <w:bCs/>
          <w:color w:val="0047AB"/>
        </w:rPr>
        <w:t xml:space="preserve">Achats</w:t>
      </w:r>
    </w:p>
    <w:p>
      <w:pPr>
        <w:spacing w:after="100"/>
      </w:pPr>
      <w:r>
        <w:t xml:space="preserve">Les commandes fournisseurs : création (produits pré-remplis selon le fournisseur), réception valorisée (met à jour le stock et le prix d'achat moyen), suivi des règlements (dette fournisseurs). TVA optionnelle, filtre par date.</w:t>
      </w:r>
    </w:p>
    <w:p>
      <w:pPr>
        <w:spacing w:after="20" w:before="100"/>
      </w:pPr>
      <w:r>
        <w:rPr>
          <w:b/>
          <w:bCs/>
          <w:color w:val="0047AB"/>
        </w:rPr>
        <w:t xml:space="preserve">Réapprovisionnement</w:t>
      </w:r>
    </w:p>
    <w:p>
      <w:pPr>
        <w:spacing w:after="100"/>
      </w:pPr>
      <w:r>
        <w:t xml:space="preserve">Les articles sous le seuil minimum : quantités suggérées et création groupée de commandes d'achat par fournisseur (avec anti-doublon).</w:t>
      </w:r>
    </w:p>
    <w:p>
      <w:pPr>
        <w:spacing w:after="20" w:before="100"/>
      </w:pPr>
      <w:r>
        <w:rPr>
          <w:b/>
          <w:bCs/>
          <w:color w:val="0047AB"/>
        </w:rPr>
        <w:t xml:space="preserve">Dépenses</w:t>
      </w:r>
    </w:p>
    <w:p>
      <w:pPr>
        <w:spacing w:after="100"/>
      </w:pPr>
      <w:r>
        <w:t xml:space="preserve">Les frais divers (transport, douane, taxes, carburant…), liés ou non à un achat, avec statut payé/non payé.</w:t>
      </w:r>
    </w:p>
    <w:p>
      <w:pPr>
        <w:spacing w:after="20" w:before="100"/>
      </w:pPr>
      <w:r>
        <w:rPr>
          <w:b/>
          <w:bCs/>
          <w:color w:val="0047AB"/>
        </w:rPr>
        <w:t xml:space="preserve">Livraisons</w:t>
      </w:r>
    </w:p>
    <w:p>
      <w:pPr>
        <w:spacing w:after="100"/>
      </w:pPr>
      <w:r>
        <w:t xml:space="preserve">Les livraisons chez le client : type de transport (moto, voiture, camion…), tarif ajouté à la facture, statut, chauffeur, date planifiée.</w:t>
      </w:r>
    </w:p>
    <w:p>
      <w:pPr>
        <w:spacing w:after="20" w:before="100"/>
      </w:pPr>
      <w:r>
        <w:rPr>
          <w:b/>
          <w:bCs/>
          <w:color w:val="0047AB"/>
        </w:rPr>
        <w:t xml:space="preserve">Calendrier</w:t>
      </w:r>
    </w:p>
    <w:p>
      <w:pPr>
        <w:spacing w:after="100"/>
      </w:pPr>
      <w:r>
        <w:t xml:space="preserve">Vue mensuelle des commandes fournisseurs (réception prévue), livraisons planifiées et échéances de créances. Bouton « + » sur chaque date pour créer directement une commande ou une livraison.</w:t>
      </w:r>
    </w:p>
    <w:p>
      <w:pPr>
        <w:spacing w:after="20" w:before="100"/>
      </w:pPr>
      <w:r>
        <w:rPr>
          <w:b/>
          <w:bCs/>
          <w:color w:val="0047AB"/>
        </w:rPr>
        <w:t xml:space="preserve">Audits &amp; Ajustements</w:t>
      </w:r>
    </w:p>
    <w:p>
      <w:pPr>
        <w:spacing w:after="100"/>
      </w:pPr>
      <w:r>
        <w:t xml:space="preserve">Les inventaires physiques : comptage, validation (ajuste le stock), historique.</w:t>
      </w:r>
    </w:p>
    <w:p>
      <w:pPr>
        <w:spacing w:after="20" w:before="100"/>
      </w:pPr>
      <w:r>
        <w:rPr>
          <w:b/>
          <w:bCs/>
          <w:color w:val="0047AB"/>
        </w:rPr>
        <w:t xml:space="preserve">Historique des Flux</w:t>
      </w:r>
    </w:p>
    <w:p>
      <w:pPr>
        <w:spacing w:after="100"/>
      </w:pPr>
      <w:r>
        <w:t xml:space="preserve">Le registre inaltérable de tous les mouvements de stock (entrées, sorties, retours…).</w:t>
      </w:r>
    </w:p>
    <w:p>
      <w:pPr>
        <w:spacing w:after="20" w:before="100"/>
      </w:pPr>
      <w:r>
        <w:rPr>
          <w:b/>
          <w:bCs/>
          <w:color w:val="0047AB"/>
        </w:rPr>
        <w:t xml:space="preserve">Comptabilité</w:t>
      </w:r>
    </w:p>
    <w:p>
      <w:pPr>
        <w:spacing w:after="100"/>
      </w:pPr>
      <w:r>
        <w:t xml:space="preserve">États de TVA et compte de résultat (voir section dédiée).</w:t>
      </w:r>
    </w:p>
    <w:p>
      <w:pPr>
        <w:spacing w:after="20" w:before="100"/>
      </w:pPr>
      <w:r>
        <w:rPr>
          <w:b/>
          <w:bCs/>
          <w:color w:val="0047AB"/>
        </w:rPr>
        <w:t xml:space="preserve">Utilisateurs</w:t>
      </w:r>
    </w:p>
    <w:p>
      <w:pPr>
        <w:spacing w:after="100"/>
      </w:pPr>
      <w:r>
        <w:t xml:space="preserve">La gestion des comptes : création, rôles, activation/désactivation, réinitialisation de mot de passe (Super Admin / Admin).</w:t>
      </w:r>
    </w:p>
    <w:p>
      <w:pPr>
        <w:spacing w:after="20" w:before="100"/>
      </w:pPr>
      <w:r>
        <w:rPr>
          <w:b/>
          <w:bCs/>
          <w:color w:val="0047AB"/>
        </w:rPr>
        <w:t xml:space="preserve">Configuration ERP</w:t>
      </w:r>
    </w:p>
    <w:p>
      <w:pPr>
        <w:spacing w:after="100"/>
      </w:pPr>
      <w:r>
        <w:t xml:space="preserve">Les réglages : raison sociale, nom de marque, logo (initiales), NIF/Stat, devise et taux, thème, numérotation des factures/avoirs, et la matrice des permissions par rôle.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5. Contrôle d'accès (rôles &amp; permissions)</w:t>
      </w:r>
    </w:p>
    <w:p>
      <w:pPr>
        <w:spacing w:after="100"/>
      </w:pPr>
      <w:r>
        <w:t xml:space="preserve">Le système gère les droits sur deux dimensions, configurables depuis la Configuration ERP et appliquées côté serveur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Accès aux onglets</w:t>
      </w:r>
      <w:r>
        <w:t xml:space="preserve"> : quels onglets chaque rôle voit.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Droits d'écriture</w:t>
      </w:r>
      <w:r>
        <w:t xml:space="preserve"> : dans quels modules chaque rôle peut créer/modifier/supprimer.</w:t>
      </w:r>
    </w:p>
    <w:p>
      <w:pPr>
        <w:pStyle w:val="Heading2"/>
        <w:spacing w:after="80" w:before="180"/>
      </w:pPr>
      <w:r>
        <w:rPr>
          <w:b/>
          <w:bCs/>
        </w:rPr>
        <w:t xml:space="preserve">Les rôles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Vocation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Propriétaire — accès complet garanti (non verrouillable)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Administration générale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 / Gérant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Gère tout sauf les comptes utilisateurs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Commercial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Ventes, caisse, clients, créances, livraisons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Acheteur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Achats / approvisionnement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Comptable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Comptabilité, règlements, dépenses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Magasinier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Stock, réception, réapprovisionnement, inventaires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Auditeur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Consultation, mouvements, inventaires</w:t>
            </w:r>
          </w:p>
        </w:tc>
      </w:tr>
    </w:tbl>
    <w:p>
      <w:pPr>
        <w:spacing w:after="100"/>
      </w:pPr>
      <w:r>
        <w:t xml:space="preserve">La sécurité est appliquée sur le serveur : même en modifiant l'affichage, un utilisateur ne peut pas effectuer une action que son rôle n'autorise pas, ni lire des données sensibles réservées.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6. La comptabilité en détail</w:t>
      </w:r>
    </w:p>
    <w:p>
      <w:pPr>
        <w:spacing w:after="100"/>
      </w:pPr>
      <w:r>
        <w:t xml:space="preserve">L'onglet Comptabilité fournit deux états, calculés par Mois / Trimestre / Année, avec exports PDF/Excel.</w:t>
      </w:r>
    </w:p>
    <w:p>
      <w:pPr>
        <w:pStyle w:val="Heading2"/>
        <w:spacing w:after="80" w:before="180"/>
      </w:pPr>
      <w:r>
        <w:rPr>
          <w:b/>
          <w:bCs/>
        </w:rPr>
        <w:t xml:space="preserve">A. État de TVA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TVA collectée</w:t>
      </w:r>
      <w:r>
        <w:t xml:space="preserve"> : la TVA facturée aux clients (sur les ventes).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TVA déductible</w:t>
      </w:r>
      <w:r>
        <w:t xml:space="preserve"> : la TVA payée aux fournisseurs (sur les achats).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TVA nette</w:t>
      </w:r>
      <w:r>
        <w:t xml:space="preserve"> = TVA collectée − TVA déductible. C'est ce qui est dû (ou récupérable) sur la période.</w:t>
      </w:r>
    </w:p>
    <w:p>
      <w:pPr>
        <w:pStyle w:val="Heading2"/>
        <w:spacing w:after="80" w:before="180"/>
      </w:pPr>
      <w:r>
        <w:rPr>
          <w:b/>
          <w:bCs/>
        </w:rPr>
        <w:t xml:space="preserve">B. Compte de résultat</w:t>
      </w:r>
    </w:p>
    <w:p>
      <w:pPr>
        <w:spacing w:after="100"/>
      </w:pPr>
      <w:r>
        <w:t xml:space="preserve">Il mesure la rentabilité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 HT</w:t>
      </w:r>
      <w:r>
        <w:t xml:space="preserve"> (chiffre d'affaires hors taxe) = total des ventes − TVA − frais de livraison (le transport n'est pas du chiffre d'affaires marchandises). Les avoirs se déduisent.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COGS</w:t>
      </w:r>
      <w:r>
        <w:t xml:space="preserve"> (coût des marchandises vendues) = le coût d'achat réel des produits vendus, enregistré au moment de la vente (coût historique), déduction faite des retours.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Marge brute</w:t>
      </w:r>
      <w:r>
        <w:t xml:space="preserve"> = CA HT − COGS. Le taux de marge = marge ÷ CA 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Charges externes</w:t>
      </w:r>
      <w:r>
        <w:t xml:space="preserve"> = les dépenses de la période.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Résultat net</w:t>
      </w:r>
      <w:r>
        <w:t xml:space="preserve"> = marge brute − charges. C'est le bénéfice (ou la perte) de la période.</w:t>
      </w:r>
    </w:p>
    <w:p>
      <w:pPr>
        <w:pStyle w:val="Heading2"/>
        <w:spacing w:after="80" w:before="180"/>
      </w:pPr>
      <w:r>
        <w:rPr>
          <w:b/>
          <w:bCs/>
        </w:rPr>
        <w:t xml:space="preserve">Comment le coût d'achat reste juste (PMP)</w:t>
      </w:r>
    </w:p>
    <w:p>
      <w:pPr>
        <w:spacing w:after="100"/>
      </w:pPr>
      <w:r>
        <w:t xml:space="preserve">À chaque réception d'une commande d'achat, le prix d'achat de la fiche article est recalculé en « coût moyen pondéré » (CUMP/PMP) : on mélange l'ancien stock et sa valeur avec la nouvelle quantité reçue et son coût. Cela garde le COGS et le contrôle « vente à perte » fondés sur un coût à jour, même si les prix d'achat varient.</w:t>
      </w:r>
    </w:p>
    <w:p>
      <w:pPr>
        <w:pStyle w:val="Heading2"/>
        <w:spacing w:after="80" w:before="180"/>
      </w:pPr>
      <w:r>
        <w:rPr>
          <w:b/>
          <w:bCs/>
        </w:rPr>
        <w:t xml:space="preserve">Numérotation légale</w:t>
      </w:r>
    </w:p>
    <w:p>
      <w:pPr>
        <w:spacing w:after="100"/>
      </w:pPr>
      <w:r>
        <w:t xml:space="preserve">Les factures (FAC-000001…) et les avoirs (AV-000001…) reçoivent un numéro séquentiel continu, sans trou, attribué de façon fiable (même en cas d'erreur, aucun numéro n'est « brûlé »). Préfixes et longueur configurables.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7. Les flux métier clés</w:t>
      </w:r>
    </w:p>
    <w:p>
      <w:pPr>
        <w:pStyle w:val="Heading2"/>
        <w:spacing w:after="80" w:before="180"/>
      </w:pPr>
      <w:r>
        <w:rPr>
          <w:b/>
          <w:bCs/>
        </w:rPr>
        <w:t xml:space="preserve">Côté achats (dépenses / entrées de stock)</w:t>
      </w:r>
    </w:p>
    <w:p>
      <w:pPr>
        <w:spacing w:after="100"/>
      </w:pPr>
      <w:r>
        <w:t xml:space="preserve">Commande fournisseur → Réception (entrée de stock valorisée, mise à jour du prix d'achat moyen) → Dépenses annexes éventuelles → Règlements fournisseurs (réduit la dette).</w:t>
      </w:r>
    </w:p>
    <w:p>
      <w:pPr>
        <w:pStyle w:val="Heading2"/>
        <w:spacing w:after="80" w:before="180"/>
      </w:pPr>
      <w:r>
        <w:rPr>
          <w:b/>
          <w:bCs/>
        </w:rPr>
        <w:t xml:space="preserve">Côté ventes (recettes / sorties de stock)</w:t>
      </w:r>
    </w:p>
    <w:p>
      <w:pPr>
        <w:spacing w:after="100"/>
      </w:pPr>
      <w:r>
        <w:t xml:space="preserve">Vente en caisse (avec avance ou à crédit) → Créance client si reste dû → Encaissements successifs → éventuel Avoir (retour/annulation) → historique des règlements. Chaque vente déduit le stock et crédite la fidélité du client.</w:t>
      </w:r>
    </w:p>
    <w:p>
      <w:pPr>
        <w:pStyle w:val="Heading2"/>
        <w:spacing w:after="80" w:before="180"/>
      </w:pPr>
      <w:r>
        <w:rPr>
          <w:b/>
          <w:bCs/>
        </w:rPr>
        <w:t xml:space="preserve">Les avoirs (notes de crédit)</w:t>
      </w:r>
    </w:p>
    <w:p>
      <w:pPr>
        <w:spacing w:after="100"/>
      </w:pPr>
      <w:r>
        <w:t xml:space="preserve">Un avoir corrige une facture : il réintègre le stock, s'impute sur le reste dû puis crée un crédit client si la facture était déjà réglée (solde négatif = crédit dû au client), et reprend la fidélité au prorata. Justificatif imprimable.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8. Tarification (fournisseurs &amp; clients)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Prix d'achat par fournisseur</w:t>
      </w:r>
      <w:r>
        <w:t xml:space="preserve"> : un même produit peut être fourni par plusieurs fournisseurs, chacun avec son prix négocié (panneau « Produits fournis »). Ces produits se pré-remplissent lors d'une commande d'achat.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Prix de vente par client</w:t>
      </w:r>
      <w:r>
        <w:t xml:space="preserve"> : on peut définir un prix de vente spécifique par client et par produit (panneau « Tarifs »). En caisse, sélectionner le client applique automatiquement ses tarifs.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Garde-fou vente à perte</w:t>
      </w:r>
      <w:r>
        <w:t xml:space="preserve"> : impossible de vendre sous le prix d'achat — bloqué à l'encaissement (côté serveur également).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9. Fonctionnalités transverses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Exports</w:t>
      </w:r>
      <w:r>
        <w:t xml:space="preserve"> : chaque tableau s'exporte en PDF et Excel (avec en-tête à la raison sociale).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Recherche, filtres, pagination</w:t>
      </w:r>
      <w:r>
        <w:t xml:space="preserve"> : 20 lignes par page sur les tableaux.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Thème clair / sombre</w:t>
      </w:r>
      <w:r>
        <w:t xml:space="preserve">, charte graphique « Cobalt Sky ».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Code-barres EAN-13</w:t>
      </w:r>
      <w:r>
        <w:t xml:space="preserve"> : génération, rendu scannable, étiquette imprimable.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Devise</w:t>
      </w:r>
      <w:r>
        <w:t xml:space="preserve"> : montants stockés en Ariary, affichage Ar ou € converti (taux configurable).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Notifications temps réel (SSE)</w:t>
      </w:r>
      <w:r>
        <w:t xml:space="preserve"> : toasts + cloche « Historique » listant toutes les actions (journal d'audit).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Identité entreprise</w:t>
      </w:r>
      <w:r>
        <w:t xml:space="preserve"> : raison sociale, nom de marque et initiales du logo administrables, propagés (barre latérale, reçus, exports).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10. Assistant IA — Résumé d'activité</w:t>
      </w:r>
    </w:p>
    <w:p>
      <w:pPr>
        <w:spacing w:after="100"/>
      </w:pPr>
      <w:r>
        <w:t xml:space="preserve">Sur le Tableau de bord, la carte « Résumé d'activité (IA) » génère, à la demande, un résumé en français des chiffres du jour ou du mois (ventes, chiffre d'affaires, marge, ruptures, créances échues…), rédigé par l'IA Claude.</w:t>
      </w:r>
    </w:p>
    <w:p>
      <w:pPr>
        <w:spacing w:after="100"/>
      </w:pPr>
      <w:r>
        <w:t xml:space="preserve">Pour l'activer, il faut une clé ANTHROPIC_API_KEY (créée sur console.anthropic.com), ajoutée dans le fichier .env en local et dans les variables d'environnement sur Render. Sans clé, la carte affiche un message d'invitation à la configurer. Le coût par génération est minime (fraction de centime).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11. Sécurité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Authentification par jeton JWT + mots de passe chiffrés (bcrypt). En production, le serveur refuse de démarrer si la clé JWT est absente/faible.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Auto-inscription fermée après le premier compte ; comptes suivants créés par un administrateur.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Droits vérifiés côté serveur, en lecture comme en écriture (un rôle ne peut pas lire des données réservées via l'API).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montants d'une vente (total, TVA, fidélité) sont recalculés par le serveur — impossible de les falsifier depuis le navigateur.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Journal d'audit inaltérable de toutes les actions.</w:t>
      </w:r>
    </w:p>
    <w:p>
      <w:pPr>
        <w:pStyle w:val="Heading1"/>
        <w:spacing w:after="120" w:before="280"/>
      </w:pPr>
      <w:r>
        <w:rPr>
          <w:b/>
          <w:bCs/>
          <w:color w:val="0047AB"/>
        </w:rPr>
        <w:t xml:space="preserve">12. Modèle de données (tables principales)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Comptes et rôles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Articles (prix, stock, code-barres, fournisseur…)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categories / brands / warehouses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Catégories, marques, entrepôts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clients / suppliers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Clients et fournisseurs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supplier_products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Prix d'achat par fournisseur (catalogue appro)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client_prices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Prix de vente par client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Ventes, factures et avoirs (+ échéances)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purchases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Commandes d'achat (+ réception, règlements)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stock_movements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Tous les mouvements de stock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Règlements clients et fournisseurs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expenses / deliveries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Dépenses et livraisons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inventory_audits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Inventaires physiques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document_counters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Compteurs de numéros légaux (factures, avoirs)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Réglages entreprise + matrices de permissions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audit_logs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Journal d'actions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047AB"/>
        </w:rPr>
        <w:t xml:space="preserve">13. Glossaire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shd w:fill="0047A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Progiciel de gestion intégré (stock, ventes, achats, compta…)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Point Of Sale — la caisse / point de vente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SKU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Référence interne unique d'un article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TVA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Taxe sur la valeur ajoutée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 HT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Chiffre d'affaires hors taxe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COGS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Coût des marchandises vendues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PMP / CUMP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Coût moyen pondéré (méthode de valorisation du stock)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Créance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Somme qu'un client nous doit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Avoir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Note de crédit (remboursement/annulation partielle d'une facture)</w:t>
            </w:r>
          </w:p>
        </w:tc>
      </w:tr>
      <w:tr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RBAC</w:t>
            </w:r>
          </w:p>
        </w:tc>
        <w:tc>
          <w:tcPr>
            <w:shd w:fill="F4F7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Contrôle d'accès basé sur les rôles</w:t>
            </w:r>
          </w:p>
        </w:tc>
      </w:tr>
      <w:tr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SSE</w:t>
            </w:r>
          </w:p>
        </w:tc>
        <w:tc>
          <w:tcPr>
            <w:shd w:fill="FFFFFF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Server-Sent Events — notifications temps réel du serveur</w:t>
            </w:r>
          </w:p>
        </w:tc>
      </w:tr>
    </w:tbl>
    <w:p/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Fin du document — Vokatra-ko · 2026-07-27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projet Vokatra-ko</dc:title>
  <dc:creator>Vokatra-ko</dc:creator>
  <cp:lastModifiedBy>Un-named</cp:lastModifiedBy>
  <cp:revision>1</cp:revision>
  <dcterms:created xsi:type="dcterms:W3CDTF">2026-07-27T14:32:12.321Z</dcterms:created>
  <dcterms:modified xsi:type="dcterms:W3CDTF">2026-07-27T14:32:12.323Z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