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23864" w14:textId="77777777" w:rsidR="00FA61C3" w:rsidRDefault="00FA61C3" w:rsidP="00FA61C3">
      <w:r>
        <w:t>Superstore Sales Analysis — Key Findings</w:t>
      </w:r>
    </w:p>
    <w:p w14:paraId="415A3B0E" w14:textId="77777777" w:rsidR="00FA61C3" w:rsidRDefault="00FA61C3" w:rsidP="00FA61C3"/>
    <w:p w14:paraId="3D98630D" w14:textId="77777777" w:rsidR="00FA61C3" w:rsidRDefault="00FA61C3" w:rsidP="00FA61C3">
      <w:r>
        <w:t>Revenue Overview</w:t>
      </w:r>
    </w:p>
    <w:p w14:paraId="1A1CB0D5" w14:textId="77777777" w:rsidR="00FA61C3" w:rsidRDefault="00FA61C3" w:rsidP="00FA61C3">
      <w:r>
        <w:t>Total revenue of $2,261,537 generated across 4,922 orders from 793 unique customers between 2015 and 2018, with an average order value of $459.</w:t>
      </w:r>
    </w:p>
    <w:p w14:paraId="59B89D51" w14:textId="77777777" w:rsidR="00FA61C3" w:rsidRDefault="00FA61C3" w:rsidP="00FA61C3"/>
    <w:p w14:paraId="1A780046" w14:textId="77777777" w:rsidR="00FA61C3" w:rsidRDefault="00FA61C3" w:rsidP="00FA61C3">
      <w:r>
        <w:t>Regional Performance</w:t>
      </w:r>
    </w:p>
    <w:p w14:paraId="08AF3ABA" w14:textId="77777777" w:rsidR="00FA61C3" w:rsidRDefault="00FA61C3" w:rsidP="00FA61C3">
      <w:r>
        <w:t>The West region leads in total revenue at $710,219 while the East region delivers the highest average order value at $489 per order, indicating stronger per-transaction efficiency despite lower volume.</w:t>
      </w:r>
    </w:p>
    <w:p w14:paraId="456C9503" w14:textId="77777777" w:rsidR="00FA61C3" w:rsidRDefault="00FA61C3" w:rsidP="00FA61C3"/>
    <w:p w14:paraId="719D6AB4" w14:textId="77777777" w:rsidR="00FA61C3" w:rsidRDefault="00FA61C3" w:rsidP="00FA61C3">
      <w:r>
        <w:t>Category Insights</w:t>
      </w:r>
    </w:p>
    <w:p w14:paraId="3F137AB2" w14:textId="77777777" w:rsidR="00FA61C3" w:rsidRDefault="00FA61C3" w:rsidP="00FA61C3">
      <w:r>
        <w:t>Technology accounts for 36.59% of total revenue at $827,455, followed by Furniture at 32.22% and Office Supplies at 31.19%. Revenue is relatively balanced across categories.</w:t>
      </w:r>
    </w:p>
    <w:p w14:paraId="6956C984" w14:textId="77777777" w:rsidR="00FA61C3" w:rsidRDefault="00FA61C3" w:rsidP="00FA61C3"/>
    <w:p w14:paraId="417DB867" w14:textId="77777777" w:rsidR="00FA61C3" w:rsidRDefault="00FA61C3" w:rsidP="00FA61C3">
      <w:r>
        <w:t>Customer Segments</w:t>
      </w:r>
    </w:p>
    <w:p w14:paraId="0F180D08" w14:textId="77777777" w:rsidR="00FA61C3" w:rsidRDefault="00FA61C3" w:rsidP="00FA61C3">
      <w:r>
        <w:t>Consumer segment generates the highest total revenue at $1,148,060 however Corporate and Home Office customers spend more per order at $462 and $475 respectively, representing higher individual customer value.</w:t>
      </w:r>
    </w:p>
    <w:p w14:paraId="28B89591" w14:textId="77777777" w:rsidR="00FA61C3" w:rsidRDefault="00FA61C3" w:rsidP="00FA61C3"/>
    <w:p w14:paraId="4C4EB537" w14:textId="77777777" w:rsidR="00FA61C3" w:rsidRDefault="00FA61C3" w:rsidP="00FA61C3">
      <w:r>
        <w:t>Growth Trend</w:t>
      </w:r>
    </w:p>
    <w:p w14:paraId="028ADB25" w14:textId="77777777" w:rsidR="00FA61C3" w:rsidRDefault="00FA61C3" w:rsidP="00FA61C3">
      <w:r>
        <w:t>Revenue declined 4.26% in 2016 before recovering strongly with 30.64% growth in 2017 and sustained 20.30% growth in 2018, indicating a successful business turnaround.</w:t>
      </w:r>
    </w:p>
    <w:p w14:paraId="2405DDF4" w14:textId="77777777" w:rsidR="00FA61C3" w:rsidRDefault="00FA61C3" w:rsidP="00FA61C3"/>
    <w:p w14:paraId="1020A65F" w14:textId="77777777" w:rsidR="00FA61C3" w:rsidRDefault="00FA61C3" w:rsidP="00FA61C3">
      <w:r>
        <w:t>Top Customers</w:t>
      </w:r>
    </w:p>
    <w:p w14:paraId="4F9B54FD" w14:textId="77777777" w:rsidR="00FA61C3" w:rsidRDefault="00FA61C3" w:rsidP="00FA61C3">
      <w:r>
        <w:t>Sean Miller represents the highest individual customer value at $25,045 across only 2 orders, highlighting significant concentration risk in key accounts.</w:t>
      </w:r>
    </w:p>
    <w:p w14:paraId="15185CE2" w14:textId="77777777" w:rsidR="00FA61C3" w:rsidRDefault="00FA61C3" w:rsidP="00FA61C3"/>
    <w:p w14:paraId="62AFFDF3" w14:textId="77777777" w:rsidR="00FA61C3" w:rsidRDefault="00FA61C3" w:rsidP="00FA61C3">
      <w:r>
        <w:lastRenderedPageBreak/>
        <w:t>Shipping Efficiency</w:t>
      </w:r>
    </w:p>
    <w:p w14:paraId="11D1AAA4" w14:textId="14AE47CB" w:rsidR="00FA61C3" w:rsidRPr="00FA61C3" w:rsidRDefault="00FA61C3" w:rsidP="00FA61C3">
      <w:r>
        <w:t>Standard Class dominates at 2,945 orders but averages 5 days to ship. Same Day shipping is severely underutilized at only 261 orders, representing a potential revenue opportunity.</w:t>
      </w:r>
    </w:p>
    <w:sectPr w:rsidR="00FA61C3" w:rsidRPr="00FA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C3"/>
    <w:rsid w:val="00CD4DE3"/>
    <w:rsid w:val="00FA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E13C7"/>
  <w15:chartTrackingRefBased/>
  <w15:docId w15:val="{A383E165-4611-4939-B9C1-BEBB7A64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Eziuzor</dc:creator>
  <cp:keywords/>
  <dc:description/>
  <cp:lastModifiedBy>Samuel Eziuzor</cp:lastModifiedBy>
  <cp:revision>1</cp:revision>
  <dcterms:created xsi:type="dcterms:W3CDTF">2026-06-04T15:13:00Z</dcterms:created>
  <dcterms:modified xsi:type="dcterms:W3CDTF">2026-06-04T15:14:00Z</dcterms:modified>
</cp:coreProperties>
</file>